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7A480" w14:textId="63FBA958" w:rsidR="004C7AA9" w:rsidRPr="00801ED5" w:rsidRDefault="004C7AA9" w:rsidP="008A7BC3">
      <w:pPr>
        <w:spacing w:line="276" w:lineRule="auto"/>
        <w:jc w:val="both"/>
        <w:rPr>
          <w:rFonts w:ascii="Arial" w:hAnsi="Arial" w:cs="Arial"/>
          <w:b/>
          <w:color w:val="5D6267"/>
        </w:rPr>
      </w:pPr>
    </w:p>
    <w:p w14:paraId="1C892361" w14:textId="0EE8FD0A" w:rsidR="00F92A22" w:rsidRDefault="00D264B9" w:rsidP="00D264B9">
      <w:pPr>
        <w:pBdr>
          <w:bottom w:val="single" w:sz="4" w:space="1" w:color="auto"/>
        </w:pBdr>
        <w:spacing w:line="320" w:lineRule="exact"/>
        <w:jc w:val="center"/>
        <w:rPr>
          <w:rFonts w:ascii="Arial" w:hAnsi="Arial" w:cs="Arial"/>
          <w:b/>
          <w:color w:val="5D6267"/>
          <w:sz w:val="32"/>
          <w:szCs w:val="32"/>
          <w:lang w:val="en-GB"/>
        </w:rPr>
      </w:pPr>
      <w:r w:rsidRPr="00D264B9">
        <w:rPr>
          <w:rFonts w:ascii="Arial" w:hAnsi="Arial" w:cs="Arial"/>
          <w:b/>
          <w:color w:val="5D6267"/>
          <w:sz w:val="32"/>
          <w:szCs w:val="32"/>
          <w:lang w:val="en-GB"/>
        </w:rPr>
        <w:t>SCHEDA REGNO UNITO</w:t>
      </w:r>
    </w:p>
    <w:p w14:paraId="1B401F09" w14:textId="0CB789D2" w:rsidR="00D264B9" w:rsidRPr="00D264B9" w:rsidRDefault="00D264B9" w:rsidP="00D264B9">
      <w:pPr>
        <w:pBdr>
          <w:bottom w:val="single" w:sz="4" w:space="1" w:color="auto"/>
        </w:pBdr>
        <w:spacing w:line="320" w:lineRule="exact"/>
        <w:jc w:val="center"/>
        <w:rPr>
          <w:rFonts w:ascii="Arial" w:hAnsi="Arial" w:cs="Arial"/>
          <w:color w:val="5D6267"/>
          <w:lang w:val="en-GB"/>
        </w:rPr>
      </w:pPr>
      <w:r w:rsidRPr="00D264B9">
        <w:rPr>
          <w:rFonts w:ascii="Arial" w:hAnsi="Arial" w:cs="Arial"/>
          <w:color w:val="5D6267"/>
          <w:lang w:val="en-GB"/>
        </w:rPr>
        <w:t>Maggio 2019</w:t>
      </w:r>
    </w:p>
    <w:p w14:paraId="45EAFD73" w14:textId="6309FEFD" w:rsidR="00F92A22" w:rsidRPr="00D264B9" w:rsidRDefault="00F92A22" w:rsidP="00D264B9">
      <w:pPr>
        <w:pBdr>
          <w:bottom w:val="single" w:sz="4" w:space="1" w:color="auto"/>
        </w:pBdr>
        <w:spacing w:line="320" w:lineRule="exact"/>
        <w:jc w:val="center"/>
        <w:rPr>
          <w:rFonts w:ascii="Arial" w:hAnsi="Arial" w:cs="Arial"/>
          <w:b/>
          <w:color w:val="5D6267"/>
          <w:sz w:val="32"/>
          <w:szCs w:val="32"/>
          <w:lang w:val="en-GB"/>
        </w:rPr>
      </w:pPr>
    </w:p>
    <w:p w14:paraId="1188246D" w14:textId="2EEA2E62" w:rsidR="00F92A22" w:rsidRPr="0050257E" w:rsidRDefault="00F92A22" w:rsidP="006900D9">
      <w:pPr>
        <w:spacing w:line="320" w:lineRule="exact"/>
        <w:jc w:val="both"/>
        <w:rPr>
          <w:rFonts w:ascii="Arial" w:hAnsi="Arial" w:cs="Arial"/>
          <w:color w:val="5D6267"/>
          <w:sz w:val="22"/>
          <w:szCs w:val="22"/>
          <w:lang w:val="en-GB"/>
        </w:rPr>
      </w:pPr>
    </w:p>
    <w:p w14:paraId="690235B3" w14:textId="14D2F48A" w:rsidR="00F92A22" w:rsidRPr="00335263" w:rsidRDefault="00F92A22" w:rsidP="006900D9">
      <w:pPr>
        <w:spacing w:line="320" w:lineRule="exact"/>
        <w:jc w:val="both"/>
        <w:rPr>
          <w:rFonts w:ascii="Arial" w:hAnsi="Arial" w:cs="Arial"/>
          <w:sz w:val="22"/>
          <w:szCs w:val="22"/>
          <w:lang w:val="en-GB"/>
        </w:rPr>
      </w:pPr>
    </w:p>
    <w:p w14:paraId="36BB4307" w14:textId="046EA6B4" w:rsidR="00335263" w:rsidRPr="000A2989" w:rsidRDefault="00335263" w:rsidP="00335263">
      <w:pPr>
        <w:pStyle w:val="ListParagraph"/>
        <w:numPr>
          <w:ilvl w:val="0"/>
          <w:numId w:val="4"/>
        </w:numPr>
        <w:tabs>
          <w:tab w:val="left" w:pos="2940"/>
        </w:tabs>
        <w:spacing w:line="320" w:lineRule="exact"/>
        <w:ind w:left="284" w:hanging="284"/>
        <w:jc w:val="both"/>
        <w:rPr>
          <w:rFonts w:ascii="Arial" w:hAnsi="Arial" w:cs="Arial"/>
          <w:b/>
          <w:caps/>
          <w:u w:val="single"/>
          <w:lang w:val="it-IT"/>
        </w:rPr>
      </w:pPr>
      <w:r w:rsidRPr="000A2989">
        <w:rPr>
          <w:rFonts w:ascii="Arial" w:hAnsi="Arial" w:cs="Arial"/>
          <w:b/>
          <w:caps/>
          <w:u w:val="single"/>
          <w:lang w:val="it-IT"/>
        </w:rPr>
        <w:t>Relazioni bilaterali Italia – Regno Unito</w:t>
      </w:r>
    </w:p>
    <w:p w14:paraId="729D69BC" w14:textId="6FD52053" w:rsidR="00335263" w:rsidRPr="00432ABB" w:rsidRDefault="00335263" w:rsidP="008C1F1C">
      <w:pPr>
        <w:tabs>
          <w:tab w:val="left" w:pos="2940"/>
        </w:tabs>
        <w:spacing w:after="120"/>
        <w:jc w:val="both"/>
        <w:rPr>
          <w:rFonts w:ascii="Arial" w:hAnsi="Arial" w:cs="Arial"/>
          <w:sz w:val="22"/>
          <w:szCs w:val="22"/>
        </w:rPr>
      </w:pPr>
      <w:r w:rsidRPr="00432ABB">
        <w:rPr>
          <w:rFonts w:ascii="Arial" w:hAnsi="Arial" w:cs="Arial"/>
          <w:sz w:val="22"/>
          <w:szCs w:val="22"/>
        </w:rPr>
        <w:t xml:space="preserve">Sul </w:t>
      </w:r>
      <w:r w:rsidRPr="00432ABB">
        <w:rPr>
          <w:rFonts w:ascii="Arial" w:hAnsi="Arial" w:cs="Arial"/>
          <w:b/>
          <w:sz w:val="22"/>
          <w:szCs w:val="22"/>
        </w:rPr>
        <w:t>piano politico</w:t>
      </w:r>
      <w:r w:rsidRPr="00432ABB">
        <w:rPr>
          <w:rFonts w:ascii="Arial" w:hAnsi="Arial" w:cs="Arial"/>
          <w:sz w:val="22"/>
          <w:szCs w:val="22"/>
        </w:rPr>
        <w:t xml:space="preserve">, i rapporti bilaterali tra il nostro Paese e il Regno Unito sono basati sulla condivisione degli stessi valori e sono particolarmente intensi anche </w:t>
      </w:r>
      <w:r w:rsidR="00321E02">
        <w:rPr>
          <w:rFonts w:ascii="Arial" w:hAnsi="Arial" w:cs="Arial"/>
          <w:sz w:val="22"/>
          <w:szCs w:val="22"/>
        </w:rPr>
        <w:t>per via</w:t>
      </w:r>
      <w:r w:rsidRPr="00432ABB">
        <w:rPr>
          <w:rFonts w:ascii="Arial" w:hAnsi="Arial" w:cs="Arial"/>
          <w:sz w:val="22"/>
          <w:szCs w:val="22"/>
        </w:rPr>
        <w:t xml:space="preserve"> della presenza in questo Paese di una influente </w:t>
      </w:r>
      <w:r w:rsidRPr="000E04D5">
        <w:rPr>
          <w:rFonts w:ascii="Arial" w:hAnsi="Arial" w:cs="Arial"/>
          <w:i/>
          <w:sz w:val="22"/>
          <w:szCs w:val="22"/>
        </w:rPr>
        <w:t>business community</w:t>
      </w:r>
      <w:r w:rsidRPr="00432ABB">
        <w:rPr>
          <w:rFonts w:ascii="Arial" w:hAnsi="Arial" w:cs="Arial"/>
          <w:sz w:val="22"/>
          <w:szCs w:val="22"/>
        </w:rPr>
        <w:t xml:space="preserve"> italo-britannica.</w:t>
      </w:r>
    </w:p>
    <w:p w14:paraId="7B6349F8" w14:textId="37EBE964" w:rsidR="00E5437E" w:rsidRPr="00432ABB" w:rsidRDefault="00335263" w:rsidP="008C1F1C">
      <w:pPr>
        <w:tabs>
          <w:tab w:val="left" w:pos="2940"/>
        </w:tabs>
        <w:spacing w:after="120"/>
        <w:jc w:val="both"/>
        <w:rPr>
          <w:rFonts w:ascii="Arial" w:hAnsi="Arial" w:cs="Arial"/>
          <w:sz w:val="22"/>
          <w:szCs w:val="22"/>
        </w:rPr>
      </w:pPr>
      <w:r w:rsidRPr="00432ABB">
        <w:rPr>
          <w:rFonts w:ascii="Arial" w:hAnsi="Arial" w:cs="Arial"/>
          <w:sz w:val="22"/>
          <w:szCs w:val="22"/>
        </w:rPr>
        <w:t xml:space="preserve">Sul versante </w:t>
      </w:r>
      <w:r w:rsidRPr="00432ABB">
        <w:rPr>
          <w:rFonts w:ascii="Arial" w:hAnsi="Arial" w:cs="Arial"/>
          <w:b/>
          <w:sz w:val="22"/>
          <w:szCs w:val="22"/>
        </w:rPr>
        <w:t>economico-commerciale</w:t>
      </w:r>
      <w:r w:rsidR="00DE5A02" w:rsidRPr="00432ABB">
        <w:rPr>
          <w:rFonts w:ascii="Arial" w:hAnsi="Arial" w:cs="Arial"/>
          <w:sz w:val="22"/>
          <w:szCs w:val="22"/>
        </w:rPr>
        <w:t>, i rapporti bilaterali sono stretti e diversificati, anche grazie alla (finora) comun</w:t>
      </w:r>
      <w:r w:rsidR="003B3840">
        <w:rPr>
          <w:rFonts w:ascii="Arial" w:hAnsi="Arial" w:cs="Arial"/>
          <w:sz w:val="22"/>
          <w:szCs w:val="22"/>
        </w:rPr>
        <w:t>e</w:t>
      </w:r>
      <w:r w:rsidR="00DE5A02" w:rsidRPr="00432ABB">
        <w:rPr>
          <w:rFonts w:ascii="Arial" w:hAnsi="Arial" w:cs="Arial"/>
          <w:sz w:val="22"/>
          <w:szCs w:val="22"/>
        </w:rPr>
        <w:t xml:space="preserve"> appartenenza alla UE. Il cambiamento di scenario, verificatosi a seguito del referendum del 23 giugno 201</w:t>
      </w:r>
      <w:r w:rsidR="00AA5167">
        <w:rPr>
          <w:rFonts w:ascii="Arial" w:hAnsi="Arial" w:cs="Arial"/>
          <w:sz w:val="22"/>
          <w:szCs w:val="22"/>
        </w:rPr>
        <w:t>6</w:t>
      </w:r>
      <w:r w:rsidR="00DE5A02" w:rsidRPr="00432ABB">
        <w:rPr>
          <w:rFonts w:ascii="Arial" w:hAnsi="Arial" w:cs="Arial"/>
          <w:sz w:val="22"/>
          <w:szCs w:val="22"/>
        </w:rPr>
        <w:t xml:space="preserve"> favorevole all’uscita del Regno Unito dalla UE, ha provocato un clima di incertezza non soltanto sul futuro della crescita di questo Paese, ma anche su quello del quadro complessivo dei rapporti commerciali bilaterali, la cui nuova configurazione </w:t>
      </w:r>
      <w:r w:rsidR="00903D8D" w:rsidRPr="00432ABB">
        <w:rPr>
          <w:rFonts w:ascii="Arial" w:hAnsi="Arial" w:cs="Arial"/>
          <w:sz w:val="22"/>
          <w:szCs w:val="22"/>
        </w:rPr>
        <w:t>verrà</w:t>
      </w:r>
      <w:r w:rsidR="00DE5A02" w:rsidRPr="00432ABB">
        <w:rPr>
          <w:rFonts w:ascii="Arial" w:hAnsi="Arial" w:cs="Arial"/>
          <w:sz w:val="22"/>
          <w:szCs w:val="22"/>
        </w:rPr>
        <w:t xml:space="preserve"> a determinarsi soltanto alla conclusione definitiva dei negoziati. </w:t>
      </w:r>
    </w:p>
    <w:p w14:paraId="62CE7AC8" w14:textId="26D55241" w:rsidR="00714DD1" w:rsidRDefault="00E5437E" w:rsidP="008C1F1C">
      <w:pPr>
        <w:tabs>
          <w:tab w:val="left" w:pos="2940"/>
        </w:tabs>
        <w:spacing w:after="120"/>
        <w:jc w:val="both"/>
        <w:rPr>
          <w:rFonts w:ascii="Arial" w:hAnsi="Arial" w:cs="Arial"/>
          <w:sz w:val="22"/>
          <w:szCs w:val="22"/>
        </w:rPr>
      </w:pPr>
      <w:r w:rsidRPr="00714DD1">
        <w:rPr>
          <w:rFonts w:ascii="Arial" w:hAnsi="Arial" w:cs="Arial"/>
          <w:sz w:val="22"/>
          <w:szCs w:val="22"/>
        </w:rPr>
        <w:t xml:space="preserve">Per quanto riguarda </w:t>
      </w:r>
      <w:r w:rsidRPr="00714DD1">
        <w:rPr>
          <w:rFonts w:ascii="Arial" w:hAnsi="Arial" w:cs="Arial"/>
          <w:b/>
          <w:sz w:val="22"/>
          <w:szCs w:val="22"/>
        </w:rPr>
        <w:t>l’interscambio commerciale</w:t>
      </w:r>
      <w:r w:rsidRPr="00714DD1">
        <w:rPr>
          <w:rFonts w:ascii="Arial" w:hAnsi="Arial" w:cs="Arial"/>
          <w:sz w:val="22"/>
          <w:szCs w:val="22"/>
        </w:rPr>
        <w:t xml:space="preserve">, nel </w:t>
      </w:r>
      <w:r w:rsidRPr="00714DD1">
        <w:rPr>
          <w:rFonts w:ascii="Arial" w:hAnsi="Arial" w:cs="Arial"/>
          <w:b/>
          <w:sz w:val="22"/>
          <w:szCs w:val="22"/>
        </w:rPr>
        <w:t>2018</w:t>
      </w:r>
      <w:r w:rsidRPr="00714DD1">
        <w:rPr>
          <w:rFonts w:ascii="Arial" w:hAnsi="Arial" w:cs="Arial"/>
          <w:sz w:val="22"/>
          <w:szCs w:val="22"/>
        </w:rPr>
        <w:t xml:space="preserve"> </w:t>
      </w:r>
      <w:r w:rsidR="00903D8D" w:rsidRPr="00714DD1">
        <w:rPr>
          <w:rFonts w:ascii="Arial" w:hAnsi="Arial" w:cs="Arial"/>
          <w:sz w:val="22"/>
          <w:szCs w:val="22"/>
        </w:rPr>
        <w:t xml:space="preserve">si </w:t>
      </w:r>
      <w:r w:rsidR="00EE5676" w:rsidRPr="00714DD1">
        <w:rPr>
          <w:rFonts w:ascii="Arial" w:hAnsi="Arial" w:cs="Arial"/>
          <w:sz w:val="22"/>
          <w:szCs w:val="22"/>
        </w:rPr>
        <w:t>è</w:t>
      </w:r>
      <w:r w:rsidR="00903D8D" w:rsidRPr="00714DD1">
        <w:rPr>
          <w:rFonts w:ascii="Arial" w:hAnsi="Arial" w:cs="Arial"/>
          <w:sz w:val="22"/>
          <w:szCs w:val="22"/>
        </w:rPr>
        <w:t xml:space="preserve"> attestato a </w:t>
      </w:r>
      <w:r w:rsidR="00903D8D" w:rsidRPr="00714DD1">
        <w:rPr>
          <w:rFonts w:ascii="Arial" w:hAnsi="Arial" w:cs="Arial"/>
          <w:b/>
          <w:sz w:val="22"/>
          <w:szCs w:val="22"/>
        </w:rPr>
        <w:t>€ 34</w:t>
      </w:r>
      <w:r w:rsidR="00887325">
        <w:rPr>
          <w:rFonts w:ascii="Arial" w:hAnsi="Arial" w:cs="Arial"/>
          <w:b/>
          <w:sz w:val="22"/>
          <w:szCs w:val="22"/>
        </w:rPr>
        <w:t>,</w:t>
      </w:r>
      <w:r w:rsidR="00903D8D" w:rsidRPr="00714DD1">
        <w:rPr>
          <w:rFonts w:ascii="Arial" w:hAnsi="Arial" w:cs="Arial"/>
          <w:b/>
          <w:sz w:val="22"/>
          <w:szCs w:val="22"/>
        </w:rPr>
        <w:t>5 mld</w:t>
      </w:r>
      <w:r w:rsidR="000E04D5">
        <w:rPr>
          <w:rStyle w:val="FootnoteReference"/>
          <w:rFonts w:ascii="Arial" w:hAnsi="Arial" w:cs="Arial"/>
          <w:b/>
          <w:sz w:val="22"/>
          <w:szCs w:val="22"/>
        </w:rPr>
        <w:footnoteReference w:id="1"/>
      </w:r>
      <w:r w:rsidR="00903D8D" w:rsidRPr="00714DD1">
        <w:rPr>
          <w:rFonts w:ascii="Arial" w:hAnsi="Arial" w:cs="Arial"/>
          <w:sz w:val="22"/>
          <w:szCs w:val="22"/>
        </w:rPr>
        <w:t xml:space="preserve"> </w:t>
      </w:r>
      <w:r w:rsidR="003666F2" w:rsidRPr="00714DD1">
        <w:rPr>
          <w:rFonts w:ascii="Arial" w:hAnsi="Arial" w:cs="Arial"/>
          <w:sz w:val="22"/>
          <w:szCs w:val="22"/>
        </w:rPr>
        <w:t>(</w:t>
      </w:r>
      <w:r w:rsidR="00714DD1" w:rsidRPr="00714DD1">
        <w:rPr>
          <w:rFonts w:ascii="Arial" w:hAnsi="Arial" w:cs="Arial"/>
          <w:sz w:val="22"/>
          <w:szCs w:val="22"/>
        </w:rPr>
        <w:t xml:space="preserve">-0,4 rispetto </w:t>
      </w:r>
      <w:r w:rsidR="003666F2" w:rsidRPr="00714DD1">
        <w:rPr>
          <w:rFonts w:ascii="Arial" w:hAnsi="Arial" w:cs="Arial"/>
          <w:sz w:val="22"/>
          <w:szCs w:val="22"/>
        </w:rPr>
        <w:t>al 2017</w:t>
      </w:r>
      <w:r w:rsidR="00714DD1" w:rsidRPr="00714DD1">
        <w:rPr>
          <w:rFonts w:ascii="Arial" w:hAnsi="Arial" w:cs="Arial"/>
          <w:sz w:val="22"/>
          <w:szCs w:val="22"/>
        </w:rPr>
        <w:t xml:space="preserve"> a causa di un cal</w:t>
      </w:r>
      <w:r w:rsidR="00714DD1">
        <w:rPr>
          <w:rFonts w:ascii="Arial" w:hAnsi="Arial" w:cs="Arial"/>
          <w:sz w:val="22"/>
          <w:szCs w:val="22"/>
        </w:rPr>
        <w:t>o</w:t>
      </w:r>
      <w:r w:rsidR="00714DD1" w:rsidRPr="00714DD1">
        <w:rPr>
          <w:rFonts w:ascii="Arial" w:hAnsi="Arial" w:cs="Arial"/>
          <w:sz w:val="22"/>
          <w:szCs w:val="22"/>
        </w:rPr>
        <w:t xml:space="preserve"> </w:t>
      </w:r>
      <w:r w:rsidR="00714DD1">
        <w:rPr>
          <w:rFonts w:ascii="Arial" w:hAnsi="Arial" w:cs="Arial"/>
          <w:sz w:val="22"/>
          <w:szCs w:val="22"/>
        </w:rPr>
        <w:t>registrato n</w:t>
      </w:r>
      <w:r w:rsidR="00714DD1" w:rsidRPr="00714DD1">
        <w:rPr>
          <w:rFonts w:ascii="Arial" w:hAnsi="Arial" w:cs="Arial"/>
          <w:sz w:val="22"/>
          <w:szCs w:val="22"/>
        </w:rPr>
        <w:t>elle importazioni italiane</w:t>
      </w:r>
      <w:r w:rsidR="003666F2" w:rsidRPr="00714DD1">
        <w:rPr>
          <w:rFonts w:ascii="Arial" w:hAnsi="Arial" w:cs="Arial"/>
          <w:sz w:val="22"/>
          <w:szCs w:val="22"/>
        </w:rPr>
        <w:t xml:space="preserve">) </w:t>
      </w:r>
      <w:r w:rsidR="00903D8D" w:rsidRPr="00714DD1">
        <w:rPr>
          <w:rFonts w:ascii="Arial" w:hAnsi="Arial" w:cs="Arial"/>
          <w:sz w:val="22"/>
          <w:szCs w:val="22"/>
        </w:rPr>
        <w:t xml:space="preserve">di cui </w:t>
      </w:r>
      <w:r w:rsidRPr="00714DD1">
        <w:rPr>
          <w:rFonts w:ascii="Arial" w:hAnsi="Arial" w:cs="Arial"/>
          <w:sz w:val="22"/>
          <w:szCs w:val="22"/>
        </w:rPr>
        <w:t xml:space="preserve">le </w:t>
      </w:r>
      <w:r w:rsidRPr="00714DD1">
        <w:rPr>
          <w:rFonts w:ascii="Arial" w:hAnsi="Arial" w:cs="Arial"/>
          <w:b/>
          <w:sz w:val="22"/>
          <w:szCs w:val="22"/>
        </w:rPr>
        <w:t>esportazioni italiane verso il mercato britannico</w:t>
      </w:r>
      <w:r w:rsidRPr="00714DD1">
        <w:rPr>
          <w:rFonts w:ascii="Arial" w:hAnsi="Arial" w:cs="Arial"/>
          <w:sz w:val="22"/>
          <w:szCs w:val="22"/>
        </w:rPr>
        <w:t xml:space="preserve"> sono state pari a </w:t>
      </w:r>
      <w:r w:rsidRPr="00714DD1">
        <w:rPr>
          <w:rFonts w:ascii="Arial" w:hAnsi="Arial" w:cs="Arial"/>
          <w:b/>
          <w:sz w:val="22"/>
          <w:szCs w:val="22"/>
        </w:rPr>
        <w:t>€ 23</w:t>
      </w:r>
      <w:r w:rsidR="00887325">
        <w:rPr>
          <w:rFonts w:ascii="Arial" w:hAnsi="Arial" w:cs="Arial"/>
          <w:b/>
          <w:sz w:val="22"/>
          <w:szCs w:val="22"/>
        </w:rPr>
        <w:t>,</w:t>
      </w:r>
      <w:r w:rsidRPr="00714DD1">
        <w:rPr>
          <w:rFonts w:ascii="Arial" w:hAnsi="Arial" w:cs="Arial"/>
          <w:b/>
          <w:sz w:val="22"/>
          <w:szCs w:val="22"/>
        </w:rPr>
        <w:t>4 mld</w:t>
      </w:r>
      <w:r w:rsidRPr="00714DD1">
        <w:rPr>
          <w:rFonts w:ascii="Arial" w:hAnsi="Arial" w:cs="Arial"/>
          <w:sz w:val="22"/>
          <w:szCs w:val="22"/>
        </w:rPr>
        <w:t xml:space="preserve"> </w:t>
      </w:r>
      <w:r w:rsidR="000E04D5">
        <w:rPr>
          <w:rFonts w:ascii="Arial" w:hAnsi="Arial" w:cs="Arial"/>
          <w:sz w:val="22"/>
          <w:szCs w:val="22"/>
        </w:rPr>
        <w:t xml:space="preserve">(+1,1% rispetto al 2017) </w:t>
      </w:r>
      <w:r w:rsidRPr="00714DD1">
        <w:rPr>
          <w:rFonts w:ascii="Arial" w:hAnsi="Arial" w:cs="Arial"/>
          <w:sz w:val="22"/>
          <w:szCs w:val="22"/>
        </w:rPr>
        <w:t xml:space="preserve">mentre quelle </w:t>
      </w:r>
      <w:r w:rsidRPr="00714DD1">
        <w:rPr>
          <w:rFonts w:ascii="Arial" w:hAnsi="Arial" w:cs="Arial"/>
          <w:b/>
          <w:sz w:val="22"/>
          <w:szCs w:val="22"/>
        </w:rPr>
        <w:t>britanniche verso il mercato italiano</w:t>
      </w:r>
      <w:r w:rsidRPr="00714DD1">
        <w:rPr>
          <w:rFonts w:ascii="Arial" w:hAnsi="Arial" w:cs="Arial"/>
          <w:sz w:val="22"/>
          <w:szCs w:val="22"/>
        </w:rPr>
        <w:t xml:space="preserve"> sono state pari a </w:t>
      </w:r>
      <w:r w:rsidRPr="00714DD1">
        <w:rPr>
          <w:rFonts w:ascii="Arial" w:hAnsi="Arial" w:cs="Arial"/>
          <w:b/>
          <w:sz w:val="22"/>
          <w:szCs w:val="22"/>
        </w:rPr>
        <w:t>€ 11</w:t>
      </w:r>
      <w:r w:rsidR="00887325">
        <w:rPr>
          <w:rFonts w:ascii="Arial" w:hAnsi="Arial" w:cs="Arial"/>
          <w:b/>
          <w:sz w:val="22"/>
          <w:szCs w:val="22"/>
        </w:rPr>
        <w:t>,1</w:t>
      </w:r>
      <w:r w:rsidRPr="00714DD1">
        <w:rPr>
          <w:rFonts w:ascii="Arial" w:hAnsi="Arial" w:cs="Arial"/>
          <w:b/>
          <w:sz w:val="22"/>
          <w:szCs w:val="22"/>
        </w:rPr>
        <w:t xml:space="preserve"> mld</w:t>
      </w:r>
      <w:r w:rsidR="000E04D5">
        <w:rPr>
          <w:rFonts w:ascii="Arial" w:hAnsi="Arial" w:cs="Arial"/>
          <w:b/>
          <w:sz w:val="22"/>
          <w:szCs w:val="22"/>
        </w:rPr>
        <w:t xml:space="preserve"> </w:t>
      </w:r>
      <w:r w:rsidR="000E04D5" w:rsidRPr="000E04D5">
        <w:rPr>
          <w:rFonts w:ascii="Arial" w:hAnsi="Arial" w:cs="Arial"/>
          <w:sz w:val="22"/>
          <w:szCs w:val="22"/>
        </w:rPr>
        <w:t>(</w:t>
      </w:r>
      <w:r w:rsidR="000E04D5">
        <w:rPr>
          <w:rFonts w:ascii="Arial" w:hAnsi="Arial" w:cs="Arial"/>
          <w:sz w:val="22"/>
          <w:szCs w:val="22"/>
        </w:rPr>
        <w:t>-3,5 rispetto al 2017</w:t>
      </w:r>
      <w:r w:rsidR="000E04D5" w:rsidRPr="000E04D5">
        <w:rPr>
          <w:rFonts w:ascii="Arial" w:hAnsi="Arial" w:cs="Arial"/>
          <w:sz w:val="22"/>
          <w:szCs w:val="22"/>
        </w:rPr>
        <w:t>)</w:t>
      </w:r>
      <w:r w:rsidRPr="00714DD1">
        <w:rPr>
          <w:rFonts w:ascii="Arial" w:hAnsi="Arial" w:cs="Arial"/>
          <w:sz w:val="22"/>
          <w:szCs w:val="22"/>
        </w:rPr>
        <w:t>.</w:t>
      </w:r>
      <w:r w:rsidRPr="00432ABB">
        <w:rPr>
          <w:rFonts w:ascii="Arial" w:hAnsi="Arial" w:cs="Arial"/>
          <w:sz w:val="22"/>
          <w:szCs w:val="22"/>
        </w:rPr>
        <w:t xml:space="preserve"> </w:t>
      </w:r>
    </w:p>
    <w:p w14:paraId="4E9BDC81" w14:textId="3D05C160" w:rsidR="00321E02" w:rsidRDefault="00714DD1" w:rsidP="008C1F1C">
      <w:pPr>
        <w:tabs>
          <w:tab w:val="left" w:pos="2940"/>
        </w:tabs>
        <w:spacing w:after="120"/>
        <w:jc w:val="both"/>
        <w:rPr>
          <w:rFonts w:ascii="Arial" w:hAnsi="Arial" w:cs="Arial"/>
          <w:b/>
          <w:sz w:val="22"/>
          <w:szCs w:val="22"/>
        </w:rPr>
      </w:pPr>
      <w:r w:rsidRPr="00432ABB">
        <w:rPr>
          <w:rFonts w:ascii="Arial" w:hAnsi="Arial" w:cs="Arial"/>
          <w:sz w:val="22"/>
          <w:szCs w:val="22"/>
        </w:rPr>
        <w:t>La dinamica dei flussi commerciali conferma il saldo positivo a favore dell’Italia</w:t>
      </w:r>
      <w:r>
        <w:rPr>
          <w:rFonts w:ascii="Arial" w:hAnsi="Arial" w:cs="Arial"/>
          <w:sz w:val="22"/>
          <w:szCs w:val="22"/>
        </w:rPr>
        <w:t xml:space="preserve">: </w:t>
      </w:r>
      <w:r w:rsidRPr="00432ABB">
        <w:rPr>
          <w:rFonts w:ascii="Arial" w:hAnsi="Arial" w:cs="Arial"/>
          <w:sz w:val="22"/>
          <w:szCs w:val="22"/>
        </w:rPr>
        <w:t xml:space="preserve">+ </w:t>
      </w:r>
      <w:r w:rsidRPr="00432ABB">
        <w:rPr>
          <w:rFonts w:ascii="Arial" w:hAnsi="Arial" w:cs="Arial"/>
          <w:b/>
          <w:sz w:val="22"/>
          <w:szCs w:val="22"/>
        </w:rPr>
        <w:t>€ 12</w:t>
      </w:r>
      <w:r w:rsidR="00887325">
        <w:rPr>
          <w:rFonts w:ascii="Arial" w:hAnsi="Arial" w:cs="Arial"/>
          <w:b/>
          <w:sz w:val="22"/>
          <w:szCs w:val="22"/>
        </w:rPr>
        <w:t>,</w:t>
      </w:r>
      <w:r w:rsidRPr="00432ABB">
        <w:rPr>
          <w:rFonts w:ascii="Arial" w:hAnsi="Arial" w:cs="Arial"/>
          <w:b/>
          <w:sz w:val="22"/>
          <w:szCs w:val="22"/>
        </w:rPr>
        <w:t>3 mld</w:t>
      </w:r>
      <w:r>
        <w:rPr>
          <w:rFonts w:ascii="Arial" w:hAnsi="Arial" w:cs="Arial"/>
          <w:b/>
          <w:sz w:val="22"/>
          <w:szCs w:val="22"/>
        </w:rPr>
        <w:t xml:space="preserve">. </w:t>
      </w:r>
      <w:r w:rsidRPr="00714DD1">
        <w:rPr>
          <w:rFonts w:ascii="Arial" w:hAnsi="Arial" w:cs="Arial"/>
          <w:sz w:val="22"/>
          <w:szCs w:val="22"/>
        </w:rPr>
        <w:t xml:space="preserve">Questo fa del Regno Unito il </w:t>
      </w:r>
      <w:r w:rsidRPr="000E04D5">
        <w:rPr>
          <w:rFonts w:ascii="Arial" w:hAnsi="Arial" w:cs="Arial"/>
          <w:b/>
          <w:sz w:val="22"/>
          <w:szCs w:val="22"/>
        </w:rPr>
        <w:t>secondo</w:t>
      </w:r>
      <w:r w:rsidRPr="000E04D5">
        <w:rPr>
          <w:rFonts w:ascii="Arial" w:hAnsi="Arial" w:cs="Arial"/>
          <w:b/>
        </w:rPr>
        <w:t xml:space="preserve"> Paese dopo gli USA per saldi attivi delle esportazioni italiane nel mondo (2018)</w:t>
      </w:r>
      <w:r w:rsidR="000E04D5">
        <w:rPr>
          <w:rStyle w:val="FootnoteReference"/>
          <w:rFonts w:ascii="Arial" w:hAnsi="Arial" w:cs="Arial"/>
          <w:b/>
        </w:rPr>
        <w:footnoteReference w:id="2"/>
      </w:r>
      <w:r w:rsidR="000E04D5">
        <w:rPr>
          <w:rFonts w:ascii="Arial" w:hAnsi="Arial" w:cs="Arial"/>
        </w:rPr>
        <w:t xml:space="preserve">. </w:t>
      </w:r>
      <w:r w:rsidR="000E04D5" w:rsidRPr="006D7B95">
        <w:rPr>
          <w:rFonts w:ascii="Arial" w:hAnsi="Arial" w:cs="Arial"/>
        </w:rPr>
        <w:t xml:space="preserve">Inoltre, con il 5,1% del nostro export assorbito dal mercato britannico, il Regno Unito si conferma </w:t>
      </w:r>
      <w:r w:rsidR="00432ABB" w:rsidRPr="006D7B95">
        <w:rPr>
          <w:rFonts w:ascii="Arial" w:hAnsi="Arial" w:cs="Arial"/>
          <w:b/>
        </w:rPr>
        <w:t>quinto mercato di sbocco per le esportazioni italiane</w:t>
      </w:r>
      <w:r w:rsidR="00432ABB" w:rsidRPr="00432ABB">
        <w:rPr>
          <w:rFonts w:ascii="Arial" w:hAnsi="Arial" w:cs="Arial"/>
          <w:b/>
          <w:sz w:val="22"/>
          <w:szCs w:val="22"/>
        </w:rPr>
        <w:t xml:space="preserve"> </w:t>
      </w:r>
      <w:r w:rsidR="00432ABB" w:rsidRPr="00432ABB">
        <w:rPr>
          <w:rFonts w:ascii="Arial" w:hAnsi="Arial" w:cs="Arial"/>
          <w:i/>
          <w:sz w:val="22"/>
          <w:szCs w:val="22"/>
        </w:rPr>
        <w:t>(dopo Germania, Francia, Stati Uniti e Spagna)</w:t>
      </w:r>
      <w:r w:rsidR="00432ABB" w:rsidRPr="00432ABB">
        <w:rPr>
          <w:rFonts w:ascii="Arial" w:hAnsi="Arial" w:cs="Arial"/>
          <w:b/>
          <w:sz w:val="22"/>
          <w:szCs w:val="22"/>
        </w:rPr>
        <w:t xml:space="preserve"> </w:t>
      </w:r>
      <w:r w:rsidR="001A5183" w:rsidRPr="006D7B95">
        <w:rPr>
          <w:rFonts w:ascii="Arial" w:hAnsi="Arial" w:cs="Arial"/>
          <w:b/>
        </w:rPr>
        <w:t>oltre ad essere</w:t>
      </w:r>
      <w:r w:rsidR="00432ABB" w:rsidRPr="006D7B95">
        <w:rPr>
          <w:rFonts w:ascii="Arial" w:hAnsi="Arial" w:cs="Arial"/>
          <w:b/>
        </w:rPr>
        <w:t xml:space="preserve"> il decimo paese per le importazioni</w:t>
      </w:r>
      <w:r w:rsidR="000E04D5">
        <w:rPr>
          <w:rStyle w:val="FootnoteReference"/>
          <w:rFonts w:ascii="Arial" w:hAnsi="Arial" w:cs="Arial"/>
          <w:b/>
          <w:sz w:val="22"/>
          <w:szCs w:val="22"/>
        </w:rPr>
        <w:footnoteReference w:id="3"/>
      </w:r>
      <w:r w:rsidR="00432ABB" w:rsidRPr="00432ABB">
        <w:rPr>
          <w:rFonts w:ascii="Arial" w:hAnsi="Arial" w:cs="Arial"/>
          <w:b/>
          <w:sz w:val="22"/>
          <w:szCs w:val="22"/>
        </w:rPr>
        <w:t xml:space="preserve">. </w:t>
      </w:r>
    </w:p>
    <w:p w14:paraId="5C321C23" w14:textId="6DEED6EB" w:rsidR="00432ABB" w:rsidRPr="00432ABB" w:rsidRDefault="00432ABB" w:rsidP="008C1F1C">
      <w:pPr>
        <w:tabs>
          <w:tab w:val="left" w:pos="2940"/>
        </w:tabs>
        <w:spacing w:after="120"/>
        <w:jc w:val="both"/>
        <w:rPr>
          <w:rFonts w:ascii="Arial" w:hAnsi="Arial" w:cs="Arial"/>
          <w:b/>
          <w:sz w:val="22"/>
          <w:szCs w:val="22"/>
        </w:rPr>
      </w:pPr>
      <w:r w:rsidRPr="00536544">
        <w:rPr>
          <w:rFonts w:ascii="Arial" w:hAnsi="Arial" w:cs="Arial"/>
          <w:sz w:val="22"/>
          <w:szCs w:val="22"/>
        </w:rPr>
        <w:t xml:space="preserve">Viceversa, </w:t>
      </w:r>
      <w:r w:rsidR="00536544" w:rsidRPr="00536544">
        <w:rPr>
          <w:rFonts w:ascii="Arial" w:hAnsi="Arial" w:cs="Arial"/>
          <w:sz w:val="22"/>
          <w:szCs w:val="22"/>
        </w:rPr>
        <w:t xml:space="preserve">nello stesso anno </w:t>
      </w:r>
      <w:r w:rsidR="00E5437E" w:rsidRPr="00432ABB">
        <w:rPr>
          <w:rFonts w:ascii="Arial" w:hAnsi="Arial" w:cs="Arial"/>
          <w:sz w:val="22"/>
          <w:szCs w:val="22"/>
        </w:rPr>
        <w:t>l’</w:t>
      </w:r>
      <w:r w:rsidR="00E5437E" w:rsidRPr="00432ABB">
        <w:rPr>
          <w:rFonts w:ascii="Arial" w:hAnsi="Arial" w:cs="Arial"/>
          <w:b/>
          <w:sz w:val="22"/>
          <w:szCs w:val="22"/>
        </w:rPr>
        <w:t>Italia</w:t>
      </w:r>
      <w:r w:rsidRPr="00432ABB">
        <w:rPr>
          <w:rFonts w:ascii="Arial" w:hAnsi="Arial" w:cs="Arial"/>
          <w:b/>
          <w:sz w:val="22"/>
          <w:szCs w:val="22"/>
        </w:rPr>
        <w:t xml:space="preserve"> ha rappresentato </w:t>
      </w:r>
      <w:r w:rsidR="00E5437E" w:rsidRPr="00432ABB">
        <w:rPr>
          <w:rFonts w:ascii="Arial" w:hAnsi="Arial" w:cs="Arial"/>
          <w:b/>
          <w:sz w:val="22"/>
          <w:szCs w:val="22"/>
        </w:rPr>
        <w:t>l’ottavo</w:t>
      </w:r>
      <w:r w:rsidR="00E5437E" w:rsidRPr="00432ABB">
        <w:rPr>
          <w:rFonts w:ascii="Arial" w:hAnsi="Arial" w:cs="Arial"/>
          <w:sz w:val="22"/>
          <w:szCs w:val="22"/>
        </w:rPr>
        <w:t xml:space="preserve"> </w:t>
      </w:r>
      <w:r w:rsidR="00E5437E" w:rsidRPr="00432ABB">
        <w:rPr>
          <w:rFonts w:ascii="Arial" w:hAnsi="Arial" w:cs="Arial"/>
          <w:b/>
          <w:sz w:val="22"/>
          <w:szCs w:val="22"/>
        </w:rPr>
        <w:t>paese fornitori del Regno Unito</w:t>
      </w:r>
      <w:r w:rsidR="00E5437E" w:rsidRPr="00432ABB">
        <w:rPr>
          <w:rFonts w:ascii="Arial" w:hAnsi="Arial" w:cs="Arial"/>
          <w:sz w:val="22"/>
          <w:szCs w:val="22"/>
        </w:rPr>
        <w:t xml:space="preserve"> </w:t>
      </w:r>
      <w:r w:rsidR="00903D8D" w:rsidRPr="00432ABB">
        <w:rPr>
          <w:rFonts w:ascii="Arial" w:hAnsi="Arial" w:cs="Arial"/>
          <w:i/>
          <w:sz w:val="22"/>
          <w:szCs w:val="22"/>
        </w:rPr>
        <w:t>(dopo Germania, Stati Uniti, Paesi Bassi, Cina, Francia, Belgio, Irlanda)</w:t>
      </w:r>
      <w:r w:rsidR="00903D8D" w:rsidRPr="00432ABB">
        <w:rPr>
          <w:rFonts w:ascii="Arial" w:hAnsi="Arial" w:cs="Arial"/>
          <w:sz w:val="22"/>
          <w:szCs w:val="22"/>
        </w:rPr>
        <w:t xml:space="preserve"> </w:t>
      </w:r>
      <w:r w:rsidR="00E5437E" w:rsidRPr="00432ABB">
        <w:rPr>
          <w:rFonts w:ascii="Arial" w:hAnsi="Arial" w:cs="Arial"/>
          <w:sz w:val="22"/>
          <w:szCs w:val="22"/>
        </w:rPr>
        <w:t xml:space="preserve">e </w:t>
      </w:r>
      <w:r w:rsidR="00E5437E" w:rsidRPr="00432ABB">
        <w:rPr>
          <w:rFonts w:ascii="Arial" w:hAnsi="Arial" w:cs="Arial"/>
          <w:b/>
          <w:sz w:val="22"/>
          <w:szCs w:val="22"/>
        </w:rPr>
        <w:t>nono mercato di sbocco per le esportazioni britanniche</w:t>
      </w:r>
      <w:r w:rsidR="00E5437E" w:rsidRPr="00432ABB">
        <w:rPr>
          <w:rFonts w:ascii="Arial" w:hAnsi="Arial" w:cs="Arial"/>
          <w:sz w:val="22"/>
          <w:szCs w:val="22"/>
        </w:rPr>
        <w:t xml:space="preserve">. </w:t>
      </w:r>
    </w:p>
    <w:p w14:paraId="3A7542EB" w14:textId="60658D9A" w:rsidR="00432ABB" w:rsidRDefault="00432ABB" w:rsidP="008C1F1C">
      <w:pPr>
        <w:tabs>
          <w:tab w:val="left" w:pos="2940"/>
        </w:tabs>
        <w:spacing w:after="120"/>
        <w:jc w:val="both"/>
        <w:rPr>
          <w:rFonts w:ascii="Arial" w:hAnsi="Arial" w:cs="Arial"/>
          <w:sz w:val="22"/>
          <w:szCs w:val="22"/>
        </w:rPr>
      </w:pPr>
      <w:r w:rsidRPr="00432ABB">
        <w:rPr>
          <w:rFonts w:ascii="Arial" w:hAnsi="Arial" w:cs="Arial"/>
          <w:sz w:val="22"/>
          <w:szCs w:val="22"/>
        </w:rPr>
        <w:t xml:space="preserve">A trainare le nostre importazioni verso il mercato britannico nel corso del 2018 </w:t>
      </w:r>
      <w:r w:rsidR="009B27F2">
        <w:rPr>
          <w:rFonts w:ascii="Arial" w:hAnsi="Arial" w:cs="Arial"/>
          <w:sz w:val="22"/>
          <w:szCs w:val="22"/>
        </w:rPr>
        <w:t>sono</w:t>
      </w:r>
      <w:r w:rsidRPr="00432ABB">
        <w:rPr>
          <w:rFonts w:ascii="Arial" w:hAnsi="Arial" w:cs="Arial"/>
          <w:sz w:val="22"/>
          <w:szCs w:val="22"/>
        </w:rPr>
        <w:t xml:space="preserve"> stat</w:t>
      </w:r>
      <w:r w:rsidR="009B27F2">
        <w:rPr>
          <w:rFonts w:ascii="Arial" w:hAnsi="Arial" w:cs="Arial"/>
          <w:sz w:val="22"/>
          <w:szCs w:val="22"/>
        </w:rPr>
        <w:t>i</w:t>
      </w:r>
      <w:r w:rsidRPr="00432ABB">
        <w:rPr>
          <w:rFonts w:ascii="Arial" w:hAnsi="Arial" w:cs="Arial"/>
          <w:sz w:val="22"/>
          <w:szCs w:val="22"/>
        </w:rPr>
        <w:t xml:space="preserve"> i settor</w:t>
      </w:r>
      <w:r w:rsidR="009B27F2">
        <w:rPr>
          <w:rFonts w:ascii="Arial" w:hAnsi="Arial" w:cs="Arial"/>
          <w:sz w:val="22"/>
          <w:szCs w:val="22"/>
        </w:rPr>
        <w:t xml:space="preserve">i </w:t>
      </w:r>
      <w:r w:rsidR="00536544">
        <w:rPr>
          <w:rFonts w:ascii="Arial" w:hAnsi="Arial" w:cs="Arial"/>
          <w:sz w:val="22"/>
          <w:szCs w:val="22"/>
        </w:rPr>
        <w:t>come</w:t>
      </w:r>
      <w:r w:rsidR="009B27F2">
        <w:rPr>
          <w:rFonts w:ascii="Arial" w:hAnsi="Arial" w:cs="Arial"/>
          <w:sz w:val="22"/>
          <w:szCs w:val="22"/>
        </w:rPr>
        <w:t xml:space="preserve"> </w:t>
      </w:r>
      <w:r w:rsidRPr="00432ABB">
        <w:rPr>
          <w:rFonts w:ascii="Arial" w:hAnsi="Arial" w:cs="Arial"/>
          <w:sz w:val="22"/>
          <w:szCs w:val="22"/>
        </w:rPr>
        <w:t xml:space="preserve">la </w:t>
      </w:r>
      <w:r w:rsidRPr="000E04D5">
        <w:rPr>
          <w:rFonts w:ascii="Arial" w:hAnsi="Arial" w:cs="Arial"/>
          <w:b/>
          <w:sz w:val="22"/>
          <w:szCs w:val="22"/>
        </w:rPr>
        <w:t xml:space="preserve">meccanica, </w:t>
      </w:r>
      <w:r w:rsidRPr="000E04D5">
        <w:rPr>
          <w:rFonts w:ascii="Arial" w:hAnsi="Arial" w:cs="Arial"/>
          <w:b/>
          <w:i/>
          <w:sz w:val="22"/>
          <w:szCs w:val="22"/>
        </w:rPr>
        <w:t>automotive</w:t>
      </w:r>
      <w:r w:rsidRPr="000E04D5">
        <w:rPr>
          <w:rFonts w:ascii="Arial" w:hAnsi="Arial" w:cs="Arial"/>
          <w:b/>
          <w:sz w:val="22"/>
          <w:szCs w:val="22"/>
        </w:rPr>
        <w:t>, beni di consumo, agroalimentare, prodotti chimici.</w:t>
      </w:r>
      <w:r w:rsidRPr="00432ABB">
        <w:rPr>
          <w:rFonts w:ascii="Arial" w:hAnsi="Arial" w:cs="Arial"/>
          <w:sz w:val="22"/>
          <w:szCs w:val="22"/>
        </w:rPr>
        <w:t xml:space="preserve">    </w:t>
      </w:r>
    </w:p>
    <w:p w14:paraId="4D3C6A9F" w14:textId="2B0E21B5" w:rsidR="00107B94" w:rsidRPr="00107B94" w:rsidRDefault="00107B94" w:rsidP="008C1F1C">
      <w:pPr>
        <w:tabs>
          <w:tab w:val="left" w:pos="2940"/>
        </w:tabs>
        <w:spacing w:after="120"/>
        <w:jc w:val="both"/>
        <w:rPr>
          <w:rFonts w:ascii="Arial" w:eastAsia="Calibri" w:hAnsi="Arial" w:cs="Arial"/>
          <w:sz w:val="22"/>
          <w:szCs w:val="22"/>
        </w:rPr>
      </w:pPr>
      <w:r>
        <w:rPr>
          <w:rFonts w:ascii="Arial" w:eastAsia="Calibri" w:hAnsi="Arial" w:cs="Arial"/>
          <w:sz w:val="22"/>
          <w:szCs w:val="22"/>
        </w:rPr>
        <w:t>L’Italia ha</w:t>
      </w:r>
      <w:r w:rsidRPr="00107B94">
        <w:rPr>
          <w:rFonts w:ascii="Arial" w:eastAsia="Calibri" w:hAnsi="Arial" w:cs="Arial"/>
          <w:sz w:val="22"/>
          <w:szCs w:val="22"/>
        </w:rPr>
        <w:t xml:space="preserve"> quote di mercato consolidate in alcuni settori chiave del Made in Italy come beni di consumo, agroindustria e alcuni beni strumentali. Siamo ad esempio, il secondo paese da cui il Regno Unito importa bevande (dopo la Francia), </w:t>
      </w:r>
      <w:r>
        <w:rPr>
          <w:rFonts w:ascii="Arial" w:eastAsia="Calibri" w:hAnsi="Arial" w:cs="Arial"/>
          <w:sz w:val="22"/>
          <w:szCs w:val="22"/>
        </w:rPr>
        <w:t xml:space="preserve">sempre il secondo paese </w:t>
      </w:r>
      <w:r w:rsidR="00C64190">
        <w:rPr>
          <w:rFonts w:ascii="Arial" w:eastAsia="Calibri" w:hAnsi="Arial" w:cs="Arial"/>
          <w:sz w:val="22"/>
          <w:szCs w:val="22"/>
        </w:rPr>
        <w:t xml:space="preserve">anche </w:t>
      </w:r>
      <w:r w:rsidR="00C64190" w:rsidRPr="00107B94">
        <w:rPr>
          <w:rFonts w:ascii="Arial" w:eastAsia="Calibri" w:hAnsi="Arial" w:cs="Arial"/>
          <w:sz w:val="22"/>
          <w:szCs w:val="22"/>
        </w:rPr>
        <w:lastRenderedPageBreak/>
        <w:t>prodotti</w:t>
      </w:r>
      <w:r w:rsidRPr="00107B94">
        <w:rPr>
          <w:rFonts w:ascii="Arial" w:eastAsia="Calibri" w:hAnsi="Arial" w:cs="Arial"/>
          <w:sz w:val="22"/>
          <w:szCs w:val="22"/>
        </w:rPr>
        <w:t xml:space="preserve"> dell’arredo e l’edilizia</w:t>
      </w:r>
      <w:r w:rsidR="00536544">
        <w:rPr>
          <w:rFonts w:ascii="Arial" w:eastAsia="Calibri" w:hAnsi="Arial" w:cs="Arial"/>
          <w:sz w:val="22"/>
          <w:szCs w:val="22"/>
        </w:rPr>
        <w:t xml:space="preserve"> (dopo la Cina)</w:t>
      </w:r>
      <w:r w:rsidRPr="00107B94">
        <w:rPr>
          <w:rFonts w:ascii="Arial" w:eastAsia="Calibri" w:hAnsi="Arial" w:cs="Arial"/>
          <w:sz w:val="22"/>
          <w:szCs w:val="22"/>
        </w:rPr>
        <w:t xml:space="preserve">; quarto per la moda e gli accessori; e ci posizioniamo comunque tra e prime posizioni anche nel settore della meccanica </w:t>
      </w:r>
      <w:r>
        <w:rPr>
          <w:rFonts w:ascii="Arial" w:eastAsia="Calibri" w:hAnsi="Arial" w:cs="Arial"/>
          <w:sz w:val="22"/>
          <w:szCs w:val="22"/>
        </w:rPr>
        <w:t>(7</w:t>
      </w:r>
      <w:bookmarkStart w:id="0" w:name="_Hlk8306818"/>
      <w:r>
        <w:rPr>
          <w:rFonts w:ascii="Arial" w:eastAsia="Calibri" w:hAnsi="Arial" w:cs="Arial"/>
          <w:sz w:val="22"/>
          <w:szCs w:val="22"/>
        </w:rPr>
        <w:t>°</w:t>
      </w:r>
      <w:bookmarkEnd w:id="0"/>
      <w:r>
        <w:rPr>
          <w:rFonts w:ascii="Arial" w:eastAsia="Calibri" w:hAnsi="Arial" w:cs="Arial"/>
          <w:sz w:val="22"/>
          <w:szCs w:val="22"/>
        </w:rPr>
        <w:t xml:space="preserve"> posizione) </w:t>
      </w:r>
      <w:r w:rsidRPr="00107B94">
        <w:rPr>
          <w:rFonts w:ascii="Arial" w:eastAsia="Calibri" w:hAnsi="Arial" w:cs="Arial"/>
          <w:sz w:val="22"/>
          <w:szCs w:val="22"/>
        </w:rPr>
        <w:t>e trasporto</w:t>
      </w:r>
      <w:r>
        <w:rPr>
          <w:rFonts w:ascii="Arial" w:eastAsia="Calibri" w:hAnsi="Arial" w:cs="Arial"/>
          <w:sz w:val="22"/>
          <w:szCs w:val="22"/>
        </w:rPr>
        <w:t xml:space="preserve"> (7° posizione)</w:t>
      </w:r>
      <w:r w:rsidRPr="00107B94">
        <w:rPr>
          <w:rFonts w:ascii="Arial" w:eastAsia="Calibri" w:hAnsi="Arial" w:cs="Arial"/>
          <w:sz w:val="22"/>
          <w:szCs w:val="22"/>
        </w:rPr>
        <w:t xml:space="preserve">, </w:t>
      </w:r>
      <w:r>
        <w:rPr>
          <w:rFonts w:ascii="Arial" w:eastAsia="Calibri" w:hAnsi="Arial" w:cs="Arial"/>
          <w:sz w:val="22"/>
          <w:szCs w:val="22"/>
        </w:rPr>
        <w:t xml:space="preserve">agroalimentare (7°posizione) </w:t>
      </w:r>
      <w:r w:rsidRPr="00107B94">
        <w:rPr>
          <w:rFonts w:ascii="Arial" w:eastAsia="Calibri" w:hAnsi="Arial" w:cs="Arial"/>
          <w:sz w:val="22"/>
          <w:szCs w:val="22"/>
        </w:rPr>
        <w:t xml:space="preserve">farmaceutica </w:t>
      </w:r>
      <w:r>
        <w:rPr>
          <w:rFonts w:ascii="Arial" w:eastAsia="Calibri" w:hAnsi="Arial" w:cs="Arial"/>
          <w:sz w:val="22"/>
          <w:szCs w:val="22"/>
        </w:rPr>
        <w:t xml:space="preserve">(8°posizione) </w:t>
      </w:r>
      <w:r w:rsidRPr="00107B94">
        <w:rPr>
          <w:rFonts w:ascii="Arial" w:eastAsia="Calibri" w:hAnsi="Arial" w:cs="Arial"/>
          <w:sz w:val="22"/>
          <w:szCs w:val="22"/>
        </w:rPr>
        <w:t>e prodotti chimici</w:t>
      </w:r>
      <w:r>
        <w:rPr>
          <w:rFonts w:ascii="Arial" w:eastAsia="Calibri" w:hAnsi="Arial" w:cs="Arial"/>
          <w:sz w:val="22"/>
          <w:szCs w:val="22"/>
        </w:rPr>
        <w:t xml:space="preserve"> (8° posizione)</w:t>
      </w:r>
      <w:r>
        <w:rPr>
          <w:rStyle w:val="FootnoteReference"/>
          <w:rFonts w:ascii="Arial" w:eastAsia="Calibri" w:hAnsi="Arial" w:cs="Arial"/>
          <w:sz w:val="22"/>
          <w:szCs w:val="22"/>
        </w:rPr>
        <w:footnoteReference w:id="4"/>
      </w:r>
      <w:r w:rsidRPr="00107B94">
        <w:rPr>
          <w:rFonts w:ascii="Arial" w:eastAsia="Calibri" w:hAnsi="Arial" w:cs="Arial"/>
          <w:sz w:val="22"/>
          <w:szCs w:val="22"/>
        </w:rPr>
        <w:t xml:space="preserve">. </w:t>
      </w:r>
    </w:p>
    <w:p w14:paraId="0443E140" w14:textId="4B4C2B58" w:rsidR="00432ABB" w:rsidRPr="008C1F1C" w:rsidRDefault="000A2989" w:rsidP="008C1F1C">
      <w:pPr>
        <w:tabs>
          <w:tab w:val="left" w:pos="2940"/>
        </w:tabs>
        <w:spacing w:after="120"/>
        <w:jc w:val="both"/>
        <w:rPr>
          <w:rFonts w:ascii="Arial" w:hAnsi="Arial" w:cs="Arial"/>
          <w:color w:val="5D6267"/>
        </w:rPr>
      </w:pPr>
      <w:r>
        <w:rPr>
          <w:rFonts w:ascii="Arial" w:hAnsi="Arial" w:cs="Arial"/>
          <w:sz w:val="22"/>
          <w:szCs w:val="22"/>
        </w:rPr>
        <w:t>P</w:t>
      </w:r>
      <w:r w:rsidR="00432ABB" w:rsidRPr="00432ABB">
        <w:rPr>
          <w:rFonts w:ascii="Arial" w:hAnsi="Arial" w:cs="Arial"/>
          <w:sz w:val="22"/>
          <w:szCs w:val="22"/>
        </w:rPr>
        <w:t xml:space="preserve">er quanto riguarda i primi mesi del </w:t>
      </w:r>
      <w:r w:rsidR="00432ABB" w:rsidRPr="009B27F2">
        <w:rPr>
          <w:rFonts w:ascii="Arial" w:hAnsi="Arial" w:cs="Arial"/>
          <w:b/>
          <w:sz w:val="22"/>
          <w:szCs w:val="22"/>
        </w:rPr>
        <w:t>2019</w:t>
      </w:r>
      <w:r w:rsidR="00432ABB" w:rsidRPr="00432ABB">
        <w:rPr>
          <w:rFonts w:ascii="Arial" w:hAnsi="Arial" w:cs="Arial"/>
          <w:sz w:val="22"/>
          <w:szCs w:val="22"/>
        </w:rPr>
        <w:t xml:space="preserve"> </w:t>
      </w:r>
      <w:r w:rsidR="00432ABB" w:rsidRPr="009B27F2">
        <w:rPr>
          <w:rFonts w:ascii="Arial" w:hAnsi="Arial" w:cs="Arial"/>
          <w:b/>
          <w:sz w:val="22"/>
          <w:szCs w:val="22"/>
        </w:rPr>
        <w:t>(gennaio e febbraio),</w:t>
      </w:r>
      <w:r w:rsidR="00432ABB" w:rsidRPr="00432ABB">
        <w:rPr>
          <w:rFonts w:ascii="Arial" w:hAnsi="Arial" w:cs="Arial"/>
          <w:sz w:val="22"/>
          <w:szCs w:val="22"/>
        </w:rPr>
        <w:t xml:space="preserve"> le </w:t>
      </w:r>
      <w:r w:rsidR="00432ABB" w:rsidRPr="009B27F2">
        <w:rPr>
          <w:rFonts w:ascii="Arial" w:hAnsi="Arial" w:cs="Arial"/>
          <w:b/>
          <w:sz w:val="22"/>
          <w:szCs w:val="22"/>
        </w:rPr>
        <w:t>esportazioni italiane</w:t>
      </w:r>
      <w:r w:rsidR="00432ABB" w:rsidRPr="00432ABB">
        <w:rPr>
          <w:rFonts w:ascii="Arial" w:hAnsi="Arial" w:cs="Arial"/>
          <w:sz w:val="22"/>
          <w:szCs w:val="22"/>
        </w:rPr>
        <w:t xml:space="preserve"> verso il mercato britannico sono state pari a </w:t>
      </w:r>
      <w:r w:rsidR="009B27F2" w:rsidRPr="00432ABB">
        <w:rPr>
          <w:rFonts w:ascii="Arial" w:hAnsi="Arial" w:cs="Arial"/>
          <w:b/>
          <w:sz w:val="22"/>
          <w:szCs w:val="22"/>
        </w:rPr>
        <w:t>€</w:t>
      </w:r>
      <w:r w:rsidR="009B27F2">
        <w:rPr>
          <w:rFonts w:ascii="Arial" w:hAnsi="Arial" w:cs="Arial"/>
          <w:b/>
          <w:sz w:val="22"/>
          <w:szCs w:val="22"/>
        </w:rPr>
        <w:t xml:space="preserve"> </w:t>
      </w:r>
      <w:r w:rsidR="00432ABB" w:rsidRPr="009B27F2">
        <w:rPr>
          <w:rFonts w:ascii="Arial" w:hAnsi="Arial" w:cs="Arial"/>
          <w:b/>
          <w:sz w:val="22"/>
          <w:szCs w:val="22"/>
        </w:rPr>
        <w:t>4</w:t>
      </w:r>
      <w:r w:rsidR="00887325">
        <w:rPr>
          <w:rFonts w:ascii="Arial" w:hAnsi="Arial" w:cs="Arial"/>
          <w:b/>
          <w:sz w:val="22"/>
          <w:szCs w:val="22"/>
        </w:rPr>
        <w:t>,1</w:t>
      </w:r>
      <w:r w:rsidR="00432ABB" w:rsidRPr="009B27F2">
        <w:rPr>
          <w:rFonts w:ascii="Arial" w:hAnsi="Arial" w:cs="Arial"/>
          <w:b/>
          <w:sz w:val="22"/>
          <w:szCs w:val="22"/>
        </w:rPr>
        <w:t> mld</w:t>
      </w:r>
      <w:r w:rsidR="00432ABB" w:rsidRPr="00432ABB">
        <w:rPr>
          <w:rFonts w:ascii="Arial" w:hAnsi="Arial" w:cs="Arial"/>
          <w:sz w:val="22"/>
          <w:szCs w:val="22"/>
        </w:rPr>
        <w:t xml:space="preserve"> e hanno registrato un aumento pari al </w:t>
      </w:r>
      <w:r w:rsidR="00432ABB" w:rsidRPr="009B27F2">
        <w:rPr>
          <w:rFonts w:ascii="Arial" w:hAnsi="Arial" w:cs="Arial"/>
          <w:b/>
          <w:sz w:val="22"/>
          <w:szCs w:val="22"/>
        </w:rPr>
        <w:t>+13.8%</w:t>
      </w:r>
      <w:r w:rsidR="00432ABB" w:rsidRPr="00432ABB">
        <w:rPr>
          <w:rFonts w:ascii="Arial" w:hAnsi="Arial" w:cs="Arial"/>
          <w:sz w:val="22"/>
          <w:szCs w:val="22"/>
        </w:rPr>
        <w:t> rispetto lo stesso periodo del 2018</w:t>
      </w:r>
      <w:r w:rsidR="00432ABB">
        <w:rPr>
          <w:rFonts w:ascii="Arial" w:hAnsi="Arial" w:cs="Arial"/>
          <w:sz w:val="22"/>
          <w:szCs w:val="22"/>
        </w:rPr>
        <w:t xml:space="preserve">. </w:t>
      </w:r>
      <w:r w:rsidR="00432ABB" w:rsidRPr="00432ABB">
        <w:rPr>
          <w:rFonts w:ascii="Arial" w:hAnsi="Arial" w:cs="Arial"/>
          <w:sz w:val="22"/>
          <w:szCs w:val="22"/>
        </w:rPr>
        <w:t>Se si considera il solo mese di </w:t>
      </w:r>
      <w:r w:rsidR="00432ABB" w:rsidRPr="009B27F2">
        <w:rPr>
          <w:rFonts w:ascii="Arial" w:hAnsi="Arial" w:cs="Arial"/>
          <w:b/>
          <w:sz w:val="22"/>
          <w:szCs w:val="22"/>
        </w:rPr>
        <w:t>Febbraio</w:t>
      </w:r>
      <w:r w:rsidR="00432ABB" w:rsidRPr="00432ABB">
        <w:rPr>
          <w:rFonts w:ascii="Arial" w:hAnsi="Arial" w:cs="Arial"/>
          <w:sz w:val="22"/>
          <w:szCs w:val="22"/>
        </w:rPr>
        <w:t xml:space="preserve"> 2019, le nostre esportazioni sono state pari a </w:t>
      </w:r>
      <w:r w:rsidR="009B27F2" w:rsidRPr="009B27F2">
        <w:rPr>
          <w:rFonts w:ascii="Arial" w:hAnsi="Arial" w:cs="Arial"/>
          <w:b/>
          <w:sz w:val="22"/>
          <w:szCs w:val="22"/>
        </w:rPr>
        <w:t xml:space="preserve">€ </w:t>
      </w:r>
      <w:r w:rsidR="00432ABB" w:rsidRPr="009B27F2">
        <w:rPr>
          <w:rFonts w:ascii="Arial" w:hAnsi="Arial" w:cs="Arial"/>
          <w:b/>
          <w:sz w:val="22"/>
          <w:szCs w:val="22"/>
        </w:rPr>
        <w:t>2</w:t>
      </w:r>
      <w:r w:rsidR="00887325">
        <w:rPr>
          <w:rFonts w:ascii="Arial" w:hAnsi="Arial" w:cs="Arial"/>
          <w:b/>
          <w:sz w:val="22"/>
          <w:szCs w:val="22"/>
        </w:rPr>
        <w:t>,1</w:t>
      </w:r>
      <w:r w:rsidR="00432ABB" w:rsidRPr="009B27F2">
        <w:rPr>
          <w:rFonts w:ascii="Arial" w:hAnsi="Arial" w:cs="Arial"/>
          <w:b/>
          <w:sz w:val="22"/>
          <w:szCs w:val="22"/>
        </w:rPr>
        <w:t xml:space="preserve"> mld</w:t>
      </w:r>
      <w:r w:rsidR="00432ABB" w:rsidRPr="00432ABB">
        <w:rPr>
          <w:rFonts w:ascii="Arial" w:hAnsi="Arial" w:cs="Arial"/>
          <w:sz w:val="22"/>
          <w:szCs w:val="22"/>
        </w:rPr>
        <w:t> </w:t>
      </w:r>
      <w:r w:rsidR="009B27F2">
        <w:rPr>
          <w:rFonts w:ascii="Arial" w:hAnsi="Arial" w:cs="Arial"/>
          <w:sz w:val="22"/>
          <w:szCs w:val="22"/>
        </w:rPr>
        <w:t>con</w:t>
      </w:r>
      <w:r w:rsidR="00432ABB" w:rsidRPr="00432ABB">
        <w:rPr>
          <w:rFonts w:ascii="Arial" w:hAnsi="Arial" w:cs="Arial"/>
          <w:sz w:val="22"/>
          <w:szCs w:val="22"/>
        </w:rPr>
        <w:t xml:space="preserve"> un incremento ancora maggiore (rispetto alla media accumulata di </w:t>
      </w:r>
      <w:r w:rsidR="00432ABB">
        <w:rPr>
          <w:rFonts w:ascii="Arial" w:hAnsi="Arial" w:cs="Arial"/>
          <w:sz w:val="22"/>
          <w:szCs w:val="22"/>
        </w:rPr>
        <w:t>g</w:t>
      </w:r>
      <w:r w:rsidR="00432ABB" w:rsidRPr="00432ABB">
        <w:rPr>
          <w:rFonts w:ascii="Arial" w:hAnsi="Arial" w:cs="Arial"/>
          <w:sz w:val="22"/>
          <w:szCs w:val="22"/>
        </w:rPr>
        <w:t>en</w:t>
      </w:r>
      <w:r w:rsidR="00432ABB">
        <w:rPr>
          <w:rFonts w:ascii="Arial" w:hAnsi="Arial" w:cs="Arial"/>
          <w:sz w:val="22"/>
          <w:szCs w:val="22"/>
        </w:rPr>
        <w:t>naio</w:t>
      </w:r>
      <w:r w:rsidR="00432ABB" w:rsidRPr="00432ABB">
        <w:rPr>
          <w:rFonts w:ascii="Arial" w:hAnsi="Arial" w:cs="Arial"/>
          <w:sz w:val="22"/>
          <w:szCs w:val="22"/>
        </w:rPr>
        <w:t xml:space="preserve"> - </w:t>
      </w:r>
      <w:r w:rsidR="00432ABB">
        <w:rPr>
          <w:rFonts w:ascii="Arial" w:hAnsi="Arial" w:cs="Arial"/>
          <w:sz w:val="22"/>
          <w:szCs w:val="22"/>
        </w:rPr>
        <w:t>f</w:t>
      </w:r>
      <w:r w:rsidR="00432ABB" w:rsidRPr="00432ABB">
        <w:rPr>
          <w:rFonts w:ascii="Arial" w:hAnsi="Arial" w:cs="Arial"/>
          <w:sz w:val="22"/>
          <w:szCs w:val="22"/>
        </w:rPr>
        <w:t>eb</w:t>
      </w:r>
      <w:r w:rsidR="00432ABB">
        <w:rPr>
          <w:rFonts w:ascii="Arial" w:hAnsi="Arial" w:cs="Arial"/>
          <w:sz w:val="22"/>
          <w:szCs w:val="22"/>
        </w:rPr>
        <w:t>braio</w:t>
      </w:r>
      <w:r w:rsidR="00432ABB" w:rsidRPr="00432ABB">
        <w:rPr>
          <w:rFonts w:ascii="Arial" w:hAnsi="Arial" w:cs="Arial"/>
          <w:sz w:val="22"/>
          <w:szCs w:val="22"/>
        </w:rPr>
        <w:t>), ossia </w:t>
      </w:r>
      <w:r w:rsidR="00432ABB" w:rsidRPr="009B27F2">
        <w:rPr>
          <w:rFonts w:ascii="Arial" w:hAnsi="Arial" w:cs="Arial"/>
          <w:b/>
          <w:sz w:val="22"/>
          <w:szCs w:val="22"/>
        </w:rPr>
        <w:t>+19.6%</w:t>
      </w:r>
      <w:r w:rsidR="00432ABB" w:rsidRPr="00432ABB">
        <w:rPr>
          <w:rFonts w:ascii="Arial" w:hAnsi="Arial" w:cs="Arial"/>
          <w:sz w:val="22"/>
          <w:szCs w:val="22"/>
        </w:rPr>
        <w:t> rispetto al mese di Febbraio 2018</w:t>
      </w:r>
      <w:r w:rsidR="00432ABB">
        <w:rPr>
          <w:rFonts w:ascii="Arial" w:hAnsi="Arial" w:cs="Arial"/>
          <w:sz w:val="22"/>
          <w:szCs w:val="22"/>
        </w:rPr>
        <w:t>.</w:t>
      </w:r>
      <w:r w:rsidR="009B27F2">
        <w:rPr>
          <w:rFonts w:ascii="Arial" w:hAnsi="Arial" w:cs="Arial"/>
          <w:sz w:val="22"/>
          <w:szCs w:val="22"/>
        </w:rPr>
        <w:t xml:space="preserve"> </w:t>
      </w:r>
    </w:p>
    <w:p w14:paraId="10F5E0B3" w14:textId="53CCB20F" w:rsidR="00F92A22" w:rsidRPr="008C1F1C" w:rsidRDefault="00432ABB" w:rsidP="008C1F1C">
      <w:pPr>
        <w:tabs>
          <w:tab w:val="left" w:pos="2940"/>
        </w:tabs>
        <w:spacing w:after="120"/>
        <w:jc w:val="both"/>
        <w:rPr>
          <w:rFonts w:ascii="Arial" w:hAnsi="Arial" w:cs="Arial"/>
          <w:sz w:val="22"/>
          <w:szCs w:val="22"/>
        </w:rPr>
      </w:pPr>
      <w:r w:rsidRPr="00432ABB">
        <w:rPr>
          <w:rFonts w:ascii="Arial" w:hAnsi="Arial" w:cs="Arial"/>
          <w:sz w:val="22"/>
          <w:szCs w:val="22"/>
        </w:rPr>
        <w:t xml:space="preserve">Diversa, invece, </w:t>
      </w:r>
      <w:r w:rsidR="009B27F2">
        <w:rPr>
          <w:rFonts w:ascii="Arial" w:hAnsi="Arial" w:cs="Arial"/>
          <w:sz w:val="22"/>
          <w:szCs w:val="22"/>
        </w:rPr>
        <w:t xml:space="preserve">è </w:t>
      </w:r>
      <w:r w:rsidRPr="00432ABB">
        <w:rPr>
          <w:rFonts w:ascii="Arial" w:hAnsi="Arial" w:cs="Arial"/>
          <w:sz w:val="22"/>
          <w:szCs w:val="22"/>
        </w:rPr>
        <w:t>la situazione per le importazioni italiane dal Regno Unito che sono diminuite del -3,1% se si considera il periodo </w:t>
      </w:r>
      <w:r>
        <w:rPr>
          <w:rFonts w:ascii="Arial" w:hAnsi="Arial" w:cs="Arial"/>
          <w:sz w:val="22"/>
          <w:szCs w:val="22"/>
        </w:rPr>
        <w:t>g</w:t>
      </w:r>
      <w:r w:rsidRPr="00432ABB">
        <w:rPr>
          <w:rFonts w:ascii="Arial" w:hAnsi="Arial" w:cs="Arial"/>
          <w:sz w:val="22"/>
          <w:szCs w:val="22"/>
        </w:rPr>
        <w:t>en</w:t>
      </w:r>
      <w:r>
        <w:rPr>
          <w:rFonts w:ascii="Arial" w:hAnsi="Arial" w:cs="Arial"/>
          <w:sz w:val="22"/>
          <w:szCs w:val="22"/>
        </w:rPr>
        <w:t>naio</w:t>
      </w:r>
      <w:r w:rsidRPr="00432ABB">
        <w:rPr>
          <w:rFonts w:ascii="Arial" w:hAnsi="Arial" w:cs="Arial"/>
          <w:sz w:val="22"/>
          <w:szCs w:val="22"/>
        </w:rPr>
        <w:t xml:space="preserve"> - </w:t>
      </w:r>
      <w:r>
        <w:rPr>
          <w:rFonts w:ascii="Arial" w:hAnsi="Arial" w:cs="Arial"/>
          <w:sz w:val="22"/>
          <w:szCs w:val="22"/>
        </w:rPr>
        <w:t>f</w:t>
      </w:r>
      <w:r w:rsidRPr="00432ABB">
        <w:rPr>
          <w:rFonts w:ascii="Arial" w:hAnsi="Arial" w:cs="Arial"/>
          <w:sz w:val="22"/>
          <w:szCs w:val="22"/>
        </w:rPr>
        <w:t>eb</w:t>
      </w:r>
      <w:r>
        <w:rPr>
          <w:rFonts w:ascii="Arial" w:hAnsi="Arial" w:cs="Arial"/>
          <w:sz w:val="22"/>
          <w:szCs w:val="22"/>
        </w:rPr>
        <w:t>braio</w:t>
      </w:r>
      <w:r w:rsidRPr="00432ABB">
        <w:rPr>
          <w:rFonts w:ascii="Arial" w:hAnsi="Arial" w:cs="Arial"/>
          <w:sz w:val="22"/>
          <w:szCs w:val="22"/>
        </w:rPr>
        <w:t xml:space="preserve"> 2019 rispetto al periodo </w:t>
      </w:r>
      <w:r>
        <w:rPr>
          <w:rFonts w:ascii="Arial" w:hAnsi="Arial" w:cs="Arial"/>
          <w:sz w:val="22"/>
          <w:szCs w:val="22"/>
        </w:rPr>
        <w:t>g</w:t>
      </w:r>
      <w:r w:rsidRPr="00432ABB">
        <w:rPr>
          <w:rFonts w:ascii="Arial" w:hAnsi="Arial" w:cs="Arial"/>
          <w:sz w:val="22"/>
          <w:szCs w:val="22"/>
        </w:rPr>
        <w:t>en</w:t>
      </w:r>
      <w:r>
        <w:rPr>
          <w:rFonts w:ascii="Arial" w:hAnsi="Arial" w:cs="Arial"/>
          <w:sz w:val="22"/>
          <w:szCs w:val="22"/>
        </w:rPr>
        <w:t>naio</w:t>
      </w:r>
      <w:r w:rsidRPr="00432ABB">
        <w:rPr>
          <w:rFonts w:ascii="Arial" w:hAnsi="Arial" w:cs="Arial"/>
          <w:sz w:val="22"/>
          <w:szCs w:val="22"/>
        </w:rPr>
        <w:t xml:space="preserve"> -</w:t>
      </w:r>
      <w:r>
        <w:rPr>
          <w:rFonts w:ascii="Arial" w:hAnsi="Arial" w:cs="Arial"/>
          <w:sz w:val="22"/>
          <w:szCs w:val="22"/>
        </w:rPr>
        <w:t>f</w:t>
      </w:r>
      <w:r w:rsidRPr="00432ABB">
        <w:rPr>
          <w:rFonts w:ascii="Arial" w:hAnsi="Arial" w:cs="Arial"/>
          <w:sz w:val="22"/>
          <w:szCs w:val="22"/>
        </w:rPr>
        <w:t>eb</w:t>
      </w:r>
      <w:r>
        <w:rPr>
          <w:rFonts w:ascii="Arial" w:hAnsi="Arial" w:cs="Arial"/>
          <w:sz w:val="22"/>
          <w:szCs w:val="22"/>
        </w:rPr>
        <w:t>braio</w:t>
      </w:r>
      <w:r w:rsidRPr="00432ABB">
        <w:rPr>
          <w:rFonts w:ascii="Arial" w:hAnsi="Arial" w:cs="Arial"/>
          <w:sz w:val="22"/>
          <w:szCs w:val="22"/>
        </w:rPr>
        <w:t xml:space="preserve"> 2018; e del -6,4% se si considera il solo mese di </w:t>
      </w:r>
      <w:r>
        <w:rPr>
          <w:rFonts w:ascii="Arial" w:hAnsi="Arial" w:cs="Arial"/>
          <w:sz w:val="22"/>
          <w:szCs w:val="22"/>
        </w:rPr>
        <w:t>f</w:t>
      </w:r>
      <w:r w:rsidRPr="00432ABB">
        <w:rPr>
          <w:rFonts w:ascii="Arial" w:hAnsi="Arial" w:cs="Arial"/>
          <w:sz w:val="22"/>
          <w:szCs w:val="22"/>
        </w:rPr>
        <w:t>eb</w:t>
      </w:r>
      <w:r>
        <w:rPr>
          <w:rFonts w:ascii="Arial" w:hAnsi="Arial" w:cs="Arial"/>
          <w:sz w:val="22"/>
          <w:szCs w:val="22"/>
        </w:rPr>
        <w:t>braio</w:t>
      </w:r>
      <w:r w:rsidRPr="00432ABB">
        <w:rPr>
          <w:rFonts w:ascii="Arial" w:hAnsi="Arial" w:cs="Arial"/>
          <w:sz w:val="22"/>
          <w:szCs w:val="22"/>
        </w:rPr>
        <w:t xml:space="preserve"> 2019 rispetto al mese di </w:t>
      </w:r>
      <w:r>
        <w:rPr>
          <w:rFonts w:ascii="Arial" w:hAnsi="Arial" w:cs="Arial"/>
          <w:sz w:val="22"/>
          <w:szCs w:val="22"/>
        </w:rPr>
        <w:t>febbraio</w:t>
      </w:r>
      <w:r w:rsidRPr="00432ABB">
        <w:rPr>
          <w:rFonts w:ascii="Arial" w:hAnsi="Arial" w:cs="Arial"/>
          <w:sz w:val="22"/>
          <w:szCs w:val="22"/>
        </w:rPr>
        <w:t xml:space="preserve"> 2018.</w:t>
      </w:r>
    </w:p>
    <w:p w14:paraId="4CDE1F45" w14:textId="65B0710F" w:rsidR="00F92A22" w:rsidRDefault="006A1F9B" w:rsidP="003666F2">
      <w:pPr>
        <w:pStyle w:val="ListParagraph"/>
        <w:numPr>
          <w:ilvl w:val="0"/>
          <w:numId w:val="4"/>
        </w:numPr>
        <w:tabs>
          <w:tab w:val="left" w:pos="2940"/>
        </w:tabs>
        <w:spacing w:line="320" w:lineRule="exact"/>
        <w:ind w:left="284" w:hanging="284"/>
        <w:jc w:val="both"/>
        <w:rPr>
          <w:rFonts w:ascii="Arial" w:hAnsi="Arial" w:cs="Arial"/>
          <w:b/>
          <w:caps/>
          <w:u w:val="single"/>
        </w:rPr>
      </w:pPr>
      <w:r w:rsidRPr="000A2989">
        <w:rPr>
          <w:rFonts w:ascii="Arial" w:hAnsi="Arial" w:cs="Arial"/>
          <w:b/>
          <w:caps/>
          <w:u w:val="single"/>
        </w:rPr>
        <w:t>Quadro Maroeconomico del Regno Unito</w:t>
      </w:r>
    </w:p>
    <w:p w14:paraId="594A3D18" w14:textId="584FB183" w:rsidR="0090650B" w:rsidRDefault="0090650B" w:rsidP="008C1F1C">
      <w:pPr>
        <w:tabs>
          <w:tab w:val="left" w:pos="2940"/>
        </w:tabs>
        <w:spacing w:after="120"/>
        <w:jc w:val="both"/>
        <w:rPr>
          <w:rFonts w:ascii="Arial" w:hAnsi="Arial" w:cs="Arial"/>
          <w:sz w:val="22"/>
          <w:szCs w:val="22"/>
        </w:rPr>
      </w:pPr>
      <w:r w:rsidRPr="0090650B">
        <w:rPr>
          <w:rFonts w:ascii="Arial" w:hAnsi="Arial" w:cs="Arial"/>
          <w:sz w:val="22"/>
          <w:szCs w:val="22"/>
        </w:rPr>
        <w:t>Il Regno Unito rappresenta la quinta economia mondiale e la seconda a</w:t>
      </w:r>
      <w:r w:rsidR="003C24DA">
        <w:rPr>
          <w:rFonts w:ascii="Arial" w:hAnsi="Arial" w:cs="Arial"/>
          <w:sz w:val="22"/>
          <w:szCs w:val="22"/>
        </w:rPr>
        <w:t xml:space="preserve"> </w:t>
      </w:r>
      <w:r w:rsidRPr="0090650B">
        <w:rPr>
          <w:rFonts w:ascii="Arial" w:hAnsi="Arial" w:cs="Arial"/>
          <w:sz w:val="22"/>
          <w:szCs w:val="22"/>
        </w:rPr>
        <w:t xml:space="preserve">livello europeo con un PIL nominale pari a 2.000 miliardi di sterline </w:t>
      </w:r>
      <w:r>
        <w:rPr>
          <w:rFonts w:ascii="Arial" w:hAnsi="Arial" w:cs="Arial"/>
          <w:sz w:val="22"/>
          <w:szCs w:val="22"/>
        </w:rPr>
        <w:t>ed un PIL pro-capite di 29.646 sterline nel 2017. A fare da traino soprattutto il settore dei servizi, che contribuiscono al 79% del PIL nazionale, seguito dall’industria (14%), dal settore delle costruzioni (6%), mentre l’agricoltura vi concorre soltanto in maniera residuale (meno dell’1%).</w:t>
      </w:r>
    </w:p>
    <w:p w14:paraId="13D9B780" w14:textId="0DA6EFF1" w:rsidR="003C24DA" w:rsidRDefault="0090650B" w:rsidP="008C1F1C">
      <w:pPr>
        <w:tabs>
          <w:tab w:val="left" w:pos="2940"/>
        </w:tabs>
        <w:spacing w:after="120"/>
        <w:jc w:val="both"/>
        <w:rPr>
          <w:rFonts w:ascii="Arial" w:hAnsi="Arial" w:cs="Arial"/>
          <w:sz w:val="22"/>
          <w:szCs w:val="22"/>
        </w:rPr>
      </w:pPr>
      <w:r>
        <w:rPr>
          <w:rFonts w:ascii="Arial" w:hAnsi="Arial" w:cs="Arial"/>
          <w:sz w:val="22"/>
          <w:szCs w:val="22"/>
        </w:rPr>
        <w:t>Il quadro complessivo mostra che l’economia britannica sta lentamente rallentando la propria crescita dalla fine del 2018, in linea con la decellerazione osservata a livello continentale e globale</w:t>
      </w:r>
      <w:r>
        <w:rPr>
          <w:rStyle w:val="FootnoteReference"/>
          <w:rFonts w:ascii="Arial" w:hAnsi="Arial" w:cs="Arial"/>
          <w:sz w:val="22"/>
          <w:szCs w:val="22"/>
        </w:rPr>
        <w:footnoteReference w:id="5"/>
      </w:r>
      <w:r>
        <w:rPr>
          <w:rFonts w:ascii="Arial" w:hAnsi="Arial" w:cs="Arial"/>
          <w:sz w:val="22"/>
          <w:szCs w:val="22"/>
        </w:rPr>
        <w:t xml:space="preserve">. La previsione di crescita per il </w:t>
      </w:r>
      <w:r w:rsidRPr="003C24DA">
        <w:rPr>
          <w:rFonts w:ascii="Arial" w:hAnsi="Arial" w:cs="Arial"/>
          <w:b/>
          <w:sz w:val="22"/>
          <w:szCs w:val="22"/>
        </w:rPr>
        <w:t>2019</w:t>
      </w:r>
      <w:r>
        <w:rPr>
          <w:rFonts w:ascii="Arial" w:hAnsi="Arial" w:cs="Arial"/>
          <w:sz w:val="22"/>
          <w:szCs w:val="22"/>
        </w:rPr>
        <w:t xml:space="preserve"> è rivista al ribasso, all’1,2 per cento contro l’1,6 stimato a ottobre. Il </w:t>
      </w:r>
      <w:r w:rsidRPr="003C24DA">
        <w:rPr>
          <w:rFonts w:ascii="Arial" w:hAnsi="Arial" w:cs="Arial"/>
          <w:b/>
          <w:sz w:val="22"/>
          <w:szCs w:val="22"/>
        </w:rPr>
        <w:t>PIL</w:t>
      </w:r>
      <w:r>
        <w:rPr>
          <w:rFonts w:ascii="Arial" w:hAnsi="Arial" w:cs="Arial"/>
          <w:sz w:val="22"/>
          <w:szCs w:val="22"/>
        </w:rPr>
        <w:t xml:space="preserve"> tornerebbe tuttavia ad accelerare già dall’anno prossimo, posizionandosi su una crescita intorno all’1,6% nel medio termine. </w:t>
      </w:r>
    </w:p>
    <w:p w14:paraId="70053EB9" w14:textId="73CB92CF" w:rsidR="00254934" w:rsidRDefault="003C24DA" w:rsidP="008C1F1C">
      <w:pPr>
        <w:tabs>
          <w:tab w:val="left" w:pos="2940"/>
        </w:tabs>
        <w:spacing w:after="120"/>
        <w:jc w:val="both"/>
        <w:rPr>
          <w:rFonts w:ascii="Arial" w:hAnsi="Arial" w:cs="Arial"/>
          <w:sz w:val="22"/>
          <w:szCs w:val="22"/>
        </w:rPr>
      </w:pPr>
      <w:r w:rsidRPr="00254934">
        <w:rPr>
          <w:rFonts w:ascii="Arial" w:hAnsi="Arial" w:cs="Arial"/>
          <w:b/>
          <w:sz w:val="22"/>
          <w:szCs w:val="22"/>
        </w:rPr>
        <w:t>L’indice dei prezzi al consu</w:t>
      </w:r>
      <w:r w:rsidR="00254934" w:rsidRPr="00254934">
        <w:rPr>
          <w:rFonts w:ascii="Arial" w:hAnsi="Arial" w:cs="Arial"/>
          <w:b/>
          <w:sz w:val="22"/>
          <w:szCs w:val="22"/>
        </w:rPr>
        <w:t>mo (CPI)</w:t>
      </w:r>
      <w:r w:rsidR="00254934">
        <w:rPr>
          <w:rFonts w:ascii="Arial" w:hAnsi="Arial" w:cs="Arial"/>
          <w:sz w:val="22"/>
          <w:szCs w:val="22"/>
        </w:rPr>
        <w:t xml:space="preserve"> è passato dal 2,3% nel 2016 al 2,5% nel 2017 ed è cresciuto in maniera stabile per tutta la durata del 2017. A dicembre 2018</w:t>
      </w:r>
      <w:r w:rsidR="00B203FE">
        <w:rPr>
          <w:rFonts w:ascii="Arial" w:hAnsi="Arial" w:cs="Arial"/>
          <w:sz w:val="22"/>
          <w:szCs w:val="22"/>
        </w:rPr>
        <w:t xml:space="preserve">, invece, </w:t>
      </w:r>
      <w:r w:rsidR="00254934">
        <w:rPr>
          <w:rFonts w:ascii="Arial" w:hAnsi="Arial" w:cs="Arial"/>
          <w:sz w:val="22"/>
          <w:szCs w:val="22"/>
        </w:rPr>
        <w:t xml:space="preserve"> il CPI si attestava al 2% rispetto al 2,7% dello stesso mese del 2017. Nei primi mesi del 2019 ha continuato a scendere (1,8% a marzo 2019) principalmente a causa dell’aumento dei prezzi nel settore dei trasporti e servizi (divertimenti e cultura) e beni alimentare e autoveicoli</w:t>
      </w:r>
      <w:r w:rsidR="00B203FE">
        <w:rPr>
          <w:rStyle w:val="FootnoteReference"/>
          <w:rFonts w:ascii="Arial" w:hAnsi="Arial" w:cs="Arial"/>
          <w:sz w:val="22"/>
          <w:szCs w:val="22"/>
        </w:rPr>
        <w:footnoteReference w:id="6"/>
      </w:r>
      <w:r w:rsidR="00254934">
        <w:rPr>
          <w:rFonts w:ascii="Arial" w:hAnsi="Arial" w:cs="Arial"/>
          <w:sz w:val="22"/>
          <w:szCs w:val="22"/>
        </w:rPr>
        <w:t>.</w:t>
      </w:r>
    </w:p>
    <w:p w14:paraId="2B476870" w14:textId="2342CBD1" w:rsidR="008C1F1C" w:rsidRDefault="00254934" w:rsidP="008C1F1C">
      <w:pPr>
        <w:tabs>
          <w:tab w:val="left" w:pos="2940"/>
        </w:tabs>
        <w:spacing w:after="120"/>
        <w:jc w:val="both"/>
        <w:rPr>
          <w:rFonts w:ascii="Arial" w:hAnsi="Arial" w:cs="Arial"/>
          <w:sz w:val="22"/>
          <w:szCs w:val="22"/>
        </w:rPr>
      </w:pPr>
      <w:r>
        <w:rPr>
          <w:rFonts w:ascii="Arial" w:hAnsi="Arial" w:cs="Arial"/>
          <w:sz w:val="22"/>
          <w:szCs w:val="22"/>
        </w:rPr>
        <w:t xml:space="preserve">Il </w:t>
      </w:r>
      <w:r w:rsidRPr="00254934">
        <w:rPr>
          <w:rFonts w:ascii="Arial" w:hAnsi="Arial" w:cs="Arial"/>
          <w:b/>
          <w:sz w:val="22"/>
          <w:szCs w:val="22"/>
        </w:rPr>
        <w:t>tasso di disoccupazione</w:t>
      </w:r>
      <w:r>
        <w:rPr>
          <w:rFonts w:ascii="Arial" w:hAnsi="Arial" w:cs="Arial"/>
          <w:sz w:val="22"/>
          <w:szCs w:val="22"/>
        </w:rPr>
        <w:t xml:space="preserve"> continua a registrare una tendenza flettente e si attesta al 3,9% (dicembre 2018 – febbraio 2019). </w:t>
      </w:r>
    </w:p>
    <w:p w14:paraId="5491CA8B" w14:textId="77777777" w:rsidR="008C1F1C" w:rsidRPr="008C1F1C" w:rsidRDefault="008C1F1C" w:rsidP="008C1F1C">
      <w:pPr>
        <w:tabs>
          <w:tab w:val="left" w:pos="2940"/>
        </w:tabs>
        <w:spacing w:after="120"/>
        <w:jc w:val="both"/>
        <w:rPr>
          <w:rFonts w:ascii="Arial" w:hAnsi="Arial" w:cs="Arial"/>
          <w:sz w:val="22"/>
          <w:szCs w:val="22"/>
        </w:rPr>
      </w:pPr>
    </w:p>
    <w:p w14:paraId="701AAEE7" w14:textId="49E9D7E3" w:rsidR="000D172B" w:rsidRDefault="003666F2" w:rsidP="000D172B">
      <w:pPr>
        <w:pStyle w:val="ListParagraph"/>
        <w:numPr>
          <w:ilvl w:val="0"/>
          <w:numId w:val="4"/>
        </w:numPr>
        <w:tabs>
          <w:tab w:val="left" w:pos="2940"/>
        </w:tabs>
        <w:spacing w:line="320" w:lineRule="exact"/>
        <w:ind w:left="284" w:hanging="284"/>
        <w:jc w:val="both"/>
        <w:rPr>
          <w:rFonts w:ascii="Arial" w:hAnsi="Arial" w:cs="Arial"/>
          <w:b/>
          <w:caps/>
          <w:u w:val="single"/>
          <w:lang w:val="it-IT"/>
        </w:rPr>
      </w:pPr>
      <w:r w:rsidRPr="00254934">
        <w:rPr>
          <w:rFonts w:ascii="Arial" w:hAnsi="Arial" w:cs="Arial"/>
          <w:b/>
          <w:caps/>
          <w:u w:val="single"/>
          <w:lang w:val="it-IT"/>
        </w:rPr>
        <w:t>BREXIT</w:t>
      </w:r>
      <w:r w:rsidR="00254934" w:rsidRPr="00254934">
        <w:rPr>
          <w:rFonts w:ascii="Arial" w:hAnsi="Arial" w:cs="Arial"/>
          <w:b/>
          <w:caps/>
          <w:u w:val="single"/>
          <w:lang w:val="it-IT"/>
        </w:rPr>
        <w:t>: stato dell’arte, possibili scenari politici  e commerciali e gli effetti sul Made in Italy</w:t>
      </w:r>
    </w:p>
    <w:p w14:paraId="72650F9A" w14:textId="77777777" w:rsidR="008C1F1C" w:rsidRPr="008C1F1C" w:rsidRDefault="008C1F1C" w:rsidP="008C1F1C">
      <w:pPr>
        <w:pStyle w:val="ListParagraph"/>
        <w:tabs>
          <w:tab w:val="left" w:pos="2940"/>
        </w:tabs>
        <w:spacing w:line="320" w:lineRule="exact"/>
        <w:ind w:left="284"/>
        <w:jc w:val="both"/>
        <w:rPr>
          <w:rFonts w:ascii="Arial" w:hAnsi="Arial" w:cs="Arial"/>
          <w:b/>
          <w:caps/>
          <w:u w:val="single"/>
          <w:lang w:val="it-IT"/>
        </w:rPr>
      </w:pPr>
    </w:p>
    <w:p w14:paraId="684865E6" w14:textId="533FAD27" w:rsidR="0081443A" w:rsidRPr="000A2989" w:rsidRDefault="000D172B" w:rsidP="000A2989">
      <w:pPr>
        <w:pStyle w:val="ListParagraph"/>
        <w:numPr>
          <w:ilvl w:val="0"/>
          <w:numId w:val="15"/>
        </w:numPr>
        <w:tabs>
          <w:tab w:val="left" w:pos="2940"/>
        </w:tabs>
        <w:ind w:left="284" w:hanging="284"/>
        <w:jc w:val="both"/>
        <w:rPr>
          <w:rFonts w:ascii="Arial" w:hAnsi="Arial" w:cs="Arial"/>
          <w:b/>
          <w:i/>
          <w:caps/>
          <w:sz w:val="20"/>
          <w:szCs w:val="20"/>
        </w:rPr>
      </w:pPr>
      <w:proofErr w:type="spellStart"/>
      <w:r w:rsidRPr="000A2989">
        <w:rPr>
          <w:rFonts w:ascii="Arial" w:hAnsi="Arial" w:cs="Arial"/>
          <w:b/>
          <w:i/>
          <w:caps/>
          <w:sz w:val="20"/>
          <w:szCs w:val="20"/>
        </w:rPr>
        <w:t>S</w:t>
      </w:r>
      <w:r w:rsidR="000A2989" w:rsidRPr="000A2989">
        <w:rPr>
          <w:rFonts w:ascii="Arial" w:hAnsi="Arial" w:cs="Arial"/>
          <w:b/>
          <w:i/>
          <w:sz w:val="20"/>
          <w:szCs w:val="20"/>
        </w:rPr>
        <w:t>tato</w:t>
      </w:r>
      <w:proofErr w:type="spellEnd"/>
      <w:r w:rsidR="000A2989" w:rsidRPr="000A2989">
        <w:rPr>
          <w:rFonts w:ascii="Arial" w:hAnsi="Arial" w:cs="Arial"/>
          <w:b/>
          <w:i/>
          <w:sz w:val="20"/>
          <w:szCs w:val="20"/>
        </w:rPr>
        <w:t xml:space="preserve"> </w:t>
      </w:r>
      <w:proofErr w:type="spellStart"/>
      <w:r w:rsidR="000A2989" w:rsidRPr="000A2989">
        <w:rPr>
          <w:rFonts w:ascii="Arial" w:hAnsi="Arial" w:cs="Arial"/>
          <w:b/>
          <w:i/>
          <w:sz w:val="20"/>
          <w:szCs w:val="20"/>
        </w:rPr>
        <w:t>dell’arte</w:t>
      </w:r>
      <w:proofErr w:type="spellEnd"/>
    </w:p>
    <w:p w14:paraId="2A90EE74" w14:textId="027B4269" w:rsidR="00DE3652" w:rsidRDefault="00DE3652" w:rsidP="008C1F1C">
      <w:pPr>
        <w:tabs>
          <w:tab w:val="left" w:pos="2940"/>
        </w:tabs>
        <w:spacing w:after="120"/>
        <w:jc w:val="both"/>
        <w:rPr>
          <w:rFonts w:ascii="Arial" w:hAnsi="Arial" w:cs="Arial"/>
          <w:sz w:val="22"/>
          <w:szCs w:val="22"/>
        </w:rPr>
      </w:pPr>
      <w:r w:rsidRPr="00DE3652">
        <w:rPr>
          <w:rFonts w:ascii="Arial" w:hAnsi="Arial" w:cs="Arial"/>
          <w:sz w:val="22"/>
          <w:szCs w:val="22"/>
        </w:rPr>
        <w:t xml:space="preserve">Il 23 giugno 2016 il popolo del Regno Unito è stato </w:t>
      </w:r>
      <w:r>
        <w:rPr>
          <w:rFonts w:ascii="Arial" w:hAnsi="Arial" w:cs="Arial"/>
          <w:sz w:val="22"/>
          <w:szCs w:val="22"/>
        </w:rPr>
        <w:t xml:space="preserve">chiamato alle urne esprimersi sulla permanenza del Regno Unito nell’Unione Europea. L’esito del referendum ha mostrato che </w:t>
      </w:r>
      <w:r w:rsidR="00A2342F">
        <w:rPr>
          <w:rFonts w:ascii="Arial" w:hAnsi="Arial" w:cs="Arial"/>
          <w:sz w:val="22"/>
          <w:szCs w:val="22"/>
        </w:rPr>
        <w:t>la maggior parte dei votanti (</w:t>
      </w:r>
      <w:r>
        <w:rPr>
          <w:rFonts w:ascii="Arial" w:hAnsi="Arial" w:cs="Arial"/>
          <w:sz w:val="22"/>
          <w:szCs w:val="22"/>
        </w:rPr>
        <w:t>52%</w:t>
      </w:r>
      <w:r w:rsidR="00A2342F">
        <w:rPr>
          <w:rFonts w:ascii="Arial" w:hAnsi="Arial" w:cs="Arial"/>
          <w:sz w:val="22"/>
          <w:szCs w:val="22"/>
        </w:rPr>
        <w:t xml:space="preserve">) </w:t>
      </w:r>
      <w:r w:rsidR="00254934">
        <w:rPr>
          <w:rFonts w:ascii="Arial" w:hAnsi="Arial" w:cs="Arial"/>
          <w:sz w:val="22"/>
          <w:szCs w:val="22"/>
        </w:rPr>
        <w:t>è</w:t>
      </w:r>
      <w:r w:rsidR="00122B38">
        <w:rPr>
          <w:rFonts w:ascii="Arial" w:hAnsi="Arial" w:cs="Arial"/>
          <w:sz w:val="22"/>
          <w:szCs w:val="22"/>
        </w:rPr>
        <w:t xml:space="preserve"> </w:t>
      </w:r>
      <w:r>
        <w:rPr>
          <w:rFonts w:ascii="Arial" w:hAnsi="Arial" w:cs="Arial"/>
          <w:sz w:val="22"/>
          <w:szCs w:val="22"/>
        </w:rPr>
        <w:t>a favore dell’uscita dal</w:t>
      </w:r>
      <w:r w:rsidR="007D2F5A" w:rsidRPr="007D2F5A">
        <w:rPr>
          <w:rFonts w:ascii="Arial" w:hAnsi="Arial" w:cs="Arial"/>
          <w:sz w:val="22"/>
          <w:szCs w:val="22"/>
        </w:rPr>
        <w:t>l'Unione europea</w:t>
      </w:r>
      <w:r w:rsidR="004912B6">
        <w:rPr>
          <w:rFonts w:ascii="Arial" w:hAnsi="Arial" w:cs="Arial"/>
          <w:sz w:val="22"/>
          <w:szCs w:val="22"/>
        </w:rPr>
        <w:t xml:space="preserve"> </w:t>
      </w:r>
      <w:r w:rsidR="004912B6" w:rsidRPr="007D2F5A">
        <w:rPr>
          <w:rFonts w:ascii="Arial" w:hAnsi="Arial" w:cs="Arial"/>
          <w:sz w:val="22"/>
          <w:szCs w:val="22"/>
        </w:rPr>
        <w:t>(comunemente noto come "Brexit").</w:t>
      </w:r>
    </w:p>
    <w:p w14:paraId="0C57BF44" w14:textId="57AA020C" w:rsidR="007D2F5A" w:rsidRPr="007D2F5A" w:rsidRDefault="00DE3652" w:rsidP="008C1F1C">
      <w:pPr>
        <w:tabs>
          <w:tab w:val="left" w:pos="2940"/>
        </w:tabs>
        <w:spacing w:after="120"/>
        <w:jc w:val="both"/>
        <w:rPr>
          <w:rFonts w:ascii="Arial" w:hAnsi="Arial" w:cs="Arial"/>
          <w:sz w:val="22"/>
          <w:szCs w:val="22"/>
        </w:rPr>
      </w:pPr>
      <w:r>
        <w:rPr>
          <w:rFonts w:ascii="Arial" w:hAnsi="Arial" w:cs="Arial"/>
          <w:sz w:val="22"/>
          <w:szCs w:val="22"/>
        </w:rPr>
        <w:lastRenderedPageBreak/>
        <w:t>Da allora ha avuto inizio un lento e complicato negoziato tra Regno Unito e Unione europea</w:t>
      </w:r>
      <w:r w:rsidR="004912B6">
        <w:rPr>
          <w:rFonts w:ascii="Arial" w:hAnsi="Arial" w:cs="Arial"/>
          <w:sz w:val="22"/>
          <w:szCs w:val="22"/>
        </w:rPr>
        <w:t>.</w:t>
      </w:r>
      <w:r>
        <w:rPr>
          <w:rFonts w:ascii="Arial" w:hAnsi="Arial" w:cs="Arial"/>
          <w:sz w:val="22"/>
          <w:szCs w:val="22"/>
        </w:rPr>
        <w:t xml:space="preserve"> </w:t>
      </w:r>
      <w:r w:rsidR="004912B6">
        <w:rPr>
          <w:rFonts w:ascii="Arial" w:hAnsi="Arial" w:cs="Arial"/>
          <w:sz w:val="22"/>
          <w:szCs w:val="22"/>
        </w:rPr>
        <w:t xml:space="preserve">Nonostante </w:t>
      </w:r>
      <w:r w:rsidRPr="007D2F5A">
        <w:rPr>
          <w:rFonts w:ascii="Arial" w:hAnsi="Arial" w:cs="Arial"/>
          <w:sz w:val="22"/>
          <w:szCs w:val="22"/>
        </w:rPr>
        <w:t xml:space="preserve">il </w:t>
      </w:r>
      <w:r w:rsidR="004912B6">
        <w:rPr>
          <w:rFonts w:ascii="Arial" w:hAnsi="Arial" w:cs="Arial"/>
          <w:sz w:val="22"/>
          <w:szCs w:val="22"/>
        </w:rPr>
        <w:t>Governo</w:t>
      </w:r>
      <w:r w:rsidRPr="007D2F5A">
        <w:rPr>
          <w:rFonts w:ascii="Arial" w:hAnsi="Arial" w:cs="Arial"/>
          <w:sz w:val="22"/>
          <w:szCs w:val="22"/>
        </w:rPr>
        <w:t xml:space="preserve"> </w:t>
      </w:r>
      <w:r>
        <w:rPr>
          <w:rFonts w:ascii="Arial" w:hAnsi="Arial" w:cs="Arial"/>
          <w:sz w:val="22"/>
          <w:szCs w:val="22"/>
        </w:rPr>
        <w:t xml:space="preserve">britannico </w:t>
      </w:r>
      <w:r w:rsidR="004912B6">
        <w:rPr>
          <w:rFonts w:ascii="Arial" w:hAnsi="Arial" w:cs="Arial"/>
          <w:sz w:val="22"/>
          <w:szCs w:val="22"/>
        </w:rPr>
        <w:t>abbia</w:t>
      </w:r>
      <w:r w:rsidRPr="007D2F5A">
        <w:rPr>
          <w:rFonts w:ascii="Arial" w:hAnsi="Arial" w:cs="Arial"/>
          <w:sz w:val="22"/>
          <w:szCs w:val="22"/>
        </w:rPr>
        <w:t xml:space="preserve"> formalmente attivato l'articolo 50 </w:t>
      </w:r>
      <w:r w:rsidR="004912B6">
        <w:rPr>
          <w:rFonts w:ascii="Arial" w:hAnsi="Arial" w:cs="Arial"/>
          <w:sz w:val="22"/>
          <w:szCs w:val="22"/>
        </w:rPr>
        <w:t xml:space="preserve">il 29 marzo 2016 - dando così inizio al countdown per il recesso che sarebbe dovuto avvenire </w:t>
      </w:r>
      <w:r w:rsidR="004912B6" w:rsidRPr="007D2F5A">
        <w:rPr>
          <w:rFonts w:ascii="Arial" w:hAnsi="Arial" w:cs="Arial"/>
          <w:sz w:val="22"/>
          <w:szCs w:val="22"/>
        </w:rPr>
        <w:t xml:space="preserve">alle 23:00 </w:t>
      </w:r>
      <w:r w:rsidR="004912B6">
        <w:rPr>
          <w:rFonts w:ascii="Arial" w:hAnsi="Arial" w:cs="Arial"/>
          <w:sz w:val="22"/>
          <w:szCs w:val="22"/>
        </w:rPr>
        <w:t xml:space="preserve">del 29 marzo 2019 - la separazione non </w:t>
      </w:r>
      <w:r w:rsidR="005F77C0">
        <w:rPr>
          <w:rFonts w:ascii="Arial" w:hAnsi="Arial" w:cs="Arial"/>
          <w:sz w:val="22"/>
          <w:szCs w:val="22"/>
        </w:rPr>
        <w:t>è</w:t>
      </w:r>
      <w:r w:rsidR="004912B6">
        <w:rPr>
          <w:rFonts w:ascii="Arial" w:hAnsi="Arial" w:cs="Arial"/>
          <w:sz w:val="22"/>
          <w:szCs w:val="22"/>
        </w:rPr>
        <w:t xml:space="preserve"> ancora avvenuta </w:t>
      </w:r>
      <w:r>
        <w:rPr>
          <w:rFonts w:ascii="Arial" w:hAnsi="Arial" w:cs="Arial"/>
          <w:sz w:val="22"/>
          <w:szCs w:val="22"/>
        </w:rPr>
        <w:t xml:space="preserve">lasciando permanere uno stato di incertezza.  </w:t>
      </w:r>
    </w:p>
    <w:p w14:paraId="554CF1CF" w14:textId="4DAF7529" w:rsidR="007D2F5A" w:rsidRPr="007D2F5A" w:rsidRDefault="004912B6" w:rsidP="008C1F1C">
      <w:pPr>
        <w:tabs>
          <w:tab w:val="left" w:pos="2940"/>
        </w:tabs>
        <w:spacing w:after="120"/>
        <w:jc w:val="both"/>
        <w:rPr>
          <w:rFonts w:ascii="Arial" w:hAnsi="Arial" w:cs="Arial"/>
          <w:sz w:val="22"/>
          <w:szCs w:val="22"/>
        </w:rPr>
      </w:pPr>
      <w:r>
        <w:rPr>
          <w:rFonts w:ascii="Arial" w:hAnsi="Arial" w:cs="Arial"/>
          <w:sz w:val="22"/>
          <w:szCs w:val="22"/>
        </w:rPr>
        <w:t>Il 14 marzo 2019, infatti, la Camera dei Comuni ha rigettato per l’ennesima volta</w:t>
      </w:r>
      <w:r w:rsidR="005F77C0">
        <w:rPr>
          <w:rStyle w:val="FootnoteReference"/>
          <w:rFonts w:ascii="Arial" w:hAnsi="Arial" w:cs="Arial"/>
          <w:sz w:val="22"/>
          <w:szCs w:val="22"/>
        </w:rPr>
        <w:footnoteReference w:id="7"/>
      </w:r>
      <w:r>
        <w:rPr>
          <w:rFonts w:ascii="Arial" w:hAnsi="Arial" w:cs="Arial"/>
          <w:sz w:val="22"/>
          <w:szCs w:val="22"/>
        </w:rPr>
        <w:t xml:space="preserve"> l’accordo di recesso </w:t>
      </w:r>
      <w:r w:rsidR="00122B38">
        <w:rPr>
          <w:rFonts w:ascii="Arial" w:hAnsi="Arial" w:cs="Arial"/>
          <w:sz w:val="22"/>
          <w:szCs w:val="22"/>
        </w:rPr>
        <w:t xml:space="preserve">raggiunto tra </w:t>
      </w:r>
      <w:r>
        <w:rPr>
          <w:rFonts w:ascii="Arial" w:hAnsi="Arial" w:cs="Arial"/>
          <w:sz w:val="22"/>
          <w:szCs w:val="22"/>
        </w:rPr>
        <w:t xml:space="preserve">Theresa </w:t>
      </w:r>
      <w:r w:rsidR="00A2342F">
        <w:rPr>
          <w:rFonts w:ascii="Arial" w:hAnsi="Arial" w:cs="Arial"/>
          <w:sz w:val="22"/>
          <w:szCs w:val="22"/>
        </w:rPr>
        <w:t>May</w:t>
      </w:r>
      <w:r w:rsidR="00122B38">
        <w:rPr>
          <w:rFonts w:ascii="Arial" w:hAnsi="Arial" w:cs="Arial"/>
          <w:sz w:val="22"/>
          <w:szCs w:val="22"/>
        </w:rPr>
        <w:t xml:space="preserve"> e l’Unione europea</w:t>
      </w:r>
      <w:r w:rsidR="003B2379">
        <w:rPr>
          <w:rFonts w:ascii="Arial" w:hAnsi="Arial" w:cs="Arial"/>
          <w:sz w:val="22"/>
          <w:szCs w:val="22"/>
        </w:rPr>
        <w:t xml:space="preserve"> </w:t>
      </w:r>
      <w:r w:rsidR="003B2379" w:rsidRPr="000A2989">
        <w:rPr>
          <w:rFonts w:ascii="Arial" w:hAnsi="Arial" w:cs="Arial"/>
          <w:sz w:val="22"/>
          <w:szCs w:val="22"/>
        </w:rPr>
        <w:t>(“</w:t>
      </w:r>
      <w:r w:rsidR="003B2379" w:rsidRPr="000A2989">
        <w:rPr>
          <w:rFonts w:ascii="Arial" w:hAnsi="Arial" w:cs="Arial"/>
          <w:i/>
          <w:sz w:val="22"/>
          <w:szCs w:val="22"/>
        </w:rPr>
        <w:t>the Brexit withdrawal agreement”)</w:t>
      </w:r>
      <w:r w:rsidR="000D172B" w:rsidRPr="000A2989">
        <w:rPr>
          <w:rFonts w:ascii="Arial" w:hAnsi="Arial" w:cs="Arial"/>
          <w:i/>
          <w:sz w:val="22"/>
          <w:szCs w:val="22"/>
        </w:rPr>
        <w:t>,</w:t>
      </w:r>
      <w:r w:rsidR="000D172B">
        <w:rPr>
          <w:rFonts w:ascii="Arial" w:hAnsi="Arial" w:cs="Arial"/>
          <w:i/>
          <w:sz w:val="20"/>
          <w:szCs w:val="20"/>
        </w:rPr>
        <w:t xml:space="preserve"> </w:t>
      </w:r>
      <w:r w:rsidR="000D172B" w:rsidRPr="000D172B">
        <w:rPr>
          <w:rFonts w:ascii="Arial" w:hAnsi="Arial" w:cs="Arial"/>
          <w:sz w:val="22"/>
          <w:szCs w:val="22"/>
        </w:rPr>
        <w:t xml:space="preserve">la cui approvazione da parte della Camera </w:t>
      </w:r>
      <w:r w:rsidR="000A2989" w:rsidRPr="000D172B">
        <w:rPr>
          <w:rFonts w:ascii="Arial" w:hAnsi="Arial" w:cs="Arial"/>
          <w:sz w:val="22"/>
          <w:szCs w:val="22"/>
        </w:rPr>
        <w:t>è</w:t>
      </w:r>
      <w:r w:rsidR="000D172B" w:rsidRPr="000D172B">
        <w:rPr>
          <w:rFonts w:ascii="Arial" w:hAnsi="Arial" w:cs="Arial"/>
          <w:sz w:val="22"/>
          <w:szCs w:val="22"/>
        </w:rPr>
        <w:t xml:space="preserve"> necessaria ai fini della ratifica</w:t>
      </w:r>
      <w:r w:rsidR="00122B38">
        <w:rPr>
          <w:rFonts w:ascii="Arial" w:hAnsi="Arial" w:cs="Arial"/>
          <w:sz w:val="22"/>
          <w:szCs w:val="22"/>
        </w:rPr>
        <w:t>. I</w:t>
      </w:r>
      <w:r w:rsidR="00A2342F">
        <w:rPr>
          <w:rFonts w:ascii="Arial" w:hAnsi="Arial" w:cs="Arial"/>
          <w:sz w:val="22"/>
          <w:szCs w:val="22"/>
        </w:rPr>
        <w:t>l</w:t>
      </w:r>
      <w:r>
        <w:rPr>
          <w:rFonts w:ascii="Arial" w:hAnsi="Arial" w:cs="Arial"/>
          <w:sz w:val="22"/>
          <w:szCs w:val="22"/>
        </w:rPr>
        <w:t xml:space="preserve"> </w:t>
      </w:r>
      <w:r w:rsidR="00A2342F">
        <w:rPr>
          <w:rFonts w:ascii="Arial" w:hAnsi="Arial" w:cs="Arial"/>
          <w:sz w:val="22"/>
          <w:szCs w:val="22"/>
        </w:rPr>
        <w:t>G</w:t>
      </w:r>
      <w:r w:rsidR="007D2F5A" w:rsidRPr="007D2F5A">
        <w:rPr>
          <w:rFonts w:ascii="Arial" w:hAnsi="Arial" w:cs="Arial"/>
          <w:sz w:val="22"/>
          <w:szCs w:val="22"/>
        </w:rPr>
        <w:t xml:space="preserve">overno </w:t>
      </w:r>
      <w:r w:rsidR="00122B38">
        <w:rPr>
          <w:rFonts w:ascii="Arial" w:hAnsi="Arial" w:cs="Arial"/>
          <w:sz w:val="22"/>
          <w:szCs w:val="22"/>
        </w:rPr>
        <w:t xml:space="preserve">britannico </w:t>
      </w:r>
      <w:r w:rsidR="007D2F5A" w:rsidRPr="007D2F5A">
        <w:rPr>
          <w:rFonts w:ascii="Arial" w:hAnsi="Arial" w:cs="Arial"/>
          <w:sz w:val="22"/>
          <w:szCs w:val="22"/>
        </w:rPr>
        <w:t xml:space="preserve">ha </w:t>
      </w:r>
      <w:r w:rsidR="00122B38">
        <w:rPr>
          <w:rFonts w:ascii="Arial" w:hAnsi="Arial" w:cs="Arial"/>
          <w:sz w:val="22"/>
          <w:szCs w:val="22"/>
        </w:rPr>
        <w:t xml:space="preserve">quindi </w:t>
      </w:r>
      <w:r w:rsidR="007D2F5A" w:rsidRPr="007D2F5A">
        <w:rPr>
          <w:rFonts w:ascii="Arial" w:hAnsi="Arial" w:cs="Arial"/>
          <w:sz w:val="22"/>
          <w:szCs w:val="22"/>
        </w:rPr>
        <w:t>chiesto all'UE di estendere l'articolo 50 e concordare una data di Brexit successiva.</w:t>
      </w:r>
    </w:p>
    <w:p w14:paraId="1DBCD09D" w14:textId="0667D02D" w:rsidR="007D2F5A" w:rsidRPr="00493AA7" w:rsidRDefault="00493AA7" w:rsidP="008C1F1C">
      <w:pPr>
        <w:tabs>
          <w:tab w:val="left" w:pos="2940"/>
        </w:tabs>
        <w:spacing w:after="120"/>
        <w:jc w:val="both"/>
        <w:rPr>
          <w:rFonts w:ascii="Arial" w:hAnsi="Arial" w:cs="Arial"/>
          <w:sz w:val="22"/>
          <w:szCs w:val="22"/>
        </w:rPr>
      </w:pPr>
      <w:r>
        <w:rPr>
          <w:rFonts w:ascii="Arial" w:hAnsi="Arial" w:cs="Arial"/>
          <w:sz w:val="22"/>
          <w:szCs w:val="22"/>
        </w:rPr>
        <w:t>Inizialmente,</w:t>
      </w:r>
      <w:r w:rsidR="007D2F5A" w:rsidRPr="007D2F5A">
        <w:rPr>
          <w:rFonts w:ascii="Arial" w:hAnsi="Arial" w:cs="Arial"/>
          <w:sz w:val="22"/>
          <w:szCs w:val="22"/>
        </w:rPr>
        <w:t xml:space="preserve"> i </w:t>
      </w:r>
      <w:r w:rsidR="007D2F5A" w:rsidRPr="000A2989">
        <w:rPr>
          <w:rFonts w:ascii="Arial" w:hAnsi="Arial" w:cs="Arial"/>
          <w:i/>
          <w:sz w:val="22"/>
          <w:szCs w:val="22"/>
        </w:rPr>
        <w:t>leader</w:t>
      </w:r>
      <w:r w:rsidR="007D2F5A" w:rsidRPr="007D2F5A">
        <w:rPr>
          <w:rFonts w:ascii="Arial" w:hAnsi="Arial" w:cs="Arial"/>
          <w:sz w:val="22"/>
          <w:szCs w:val="22"/>
        </w:rPr>
        <w:t xml:space="preserve"> dell'UE27 </w:t>
      </w:r>
      <w:r w:rsidR="003B2379">
        <w:rPr>
          <w:rFonts w:ascii="Arial" w:hAnsi="Arial" w:cs="Arial"/>
          <w:sz w:val="22"/>
          <w:szCs w:val="22"/>
        </w:rPr>
        <w:t>avevano</w:t>
      </w:r>
      <w:r w:rsidR="007D2F5A" w:rsidRPr="007D2F5A">
        <w:rPr>
          <w:rFonts w:ascii="Arial" w:hAnsi="Arial" w:cs="Arial"/>
          <w:sz w:val="22"/>
          <w:szCs w:val="22"/>
        </w:rPr>
        <w:t xml:space="preserve"> concordato di concedere un'estensione comprendente due date possibili: il 22 maggio 2019, qualora l'accordo di ritiro otten</w:t>
      </w:r>
      <w:r w:rsidR="003B2379">
        <w:rPr>
          <w:rFonts w:ascii="Arial" w:hAnsi="Arial" w:cs="Arial"/>
          <w:sz w:val="22"/>
          <w:szCs w:val="22"/>
        </w:rPr>
        <w:t>esse</w:t>
      </w:r>
      <w:r w:rsidR="007D2F5A" w:rsidRPr="007D2F5A">
        <w:rPr>
          <w:rFonts w:ascii="Arial" w:hAnsi="Arial" w:cs="Arial"/>
          <w:sz w:val="22"/>
          <w:szCs w:val="22"/>
        </w:rPr>
        <w:t xml:space="preserve"> l'approvazione dei parlamentari; o 12 aprile 2019, qualora l'Accordo di Prelievo non </w:t>
      </w:r>
      <w:r w:rsidR="003B2379">
        <w:rPr>
          <w:rFonts w:ascii="Arial" w:hAnsi="Arial" w:cs="Arial"/>
          <w:sz w:val="22"/>
          <w:szCs w:val="22"/>
        </w:rPr>
        <w:t>fosse</w:t>
      </w:r>
      <w:r w:rsidR="007D2F5A" w:rsidRPr="007D2F5A">
        <w:rPr>
          <w:rFonts w:ascii="Arial" w:hAnsi="Arial" w:cs="Arial"/>
          <w:sz w:val="22"/>
          <w:szCs w:val="22"/>
        </w:rPr>
        <w:t xml:space="preserve"> approvato dalla Camera dei Comuni.</w:t>
      </w:r>
      <w:r>
        <w:rPr>
          <w:rFonts w:ascii="Arial" w:hAnsi="Arial" w:cs="Arial"/>
          <w:sz w:val="22"/>
          <w:szCs w:val="22"/>
        </w:rPr>
        <w:t xml:space="preserve"> Tuttavia, i</w:t>
      </w:r>
      <w:r w:rsidR="007D2F5A" w:rsidRPr="007D2F5A">
        <w:rPr>
          <w:rFonts w:ascii="Arial" w:hAnsi="Arial" w:cs="Arial"/>
          <w:sz w:val="22"/>
          <w:szCs w:val="22"/>
        </w:rPr>
        <w:t xml:space="preserve">l 2 aprile 2019, il Primo Ministro </w:t>
      </w:r>
      <w:r>
        <w:rPr>
          <w:rFonts w:ascii="Arial" w:hAnsi="Arial" w:cs="Arial"/>
          <w:sz w:val="22"/>
          <w:szCs w:val="22"/>
        </w:rPr>
        <w:t xml:space="preserve">britannico </w:t>
      </w:r>
      <w:r w:rsidR="007D2F5A" w:rsidRPr="007D2F5A">
        <w:rPr>
          <w:rFonts w:ascii="Arial" w:hAnsi="Arial" w:cs="Arial"/>
          <w:sz w:val="22"/>
          <w:szCs w:val="22"/>
        </w:rPr>
        <w:t xml:space="preserve">ha annunciato </w:t>
      </w:r>
      <w:r w:rsidR="00122B38">
        <w:rPr>
          <w:rFonts w:ascii="Arial" w:hAnsi="Arial" w:cs="Arial"/>
          <w:sz w:val="22"/>
          <w:szCs w:val="22"/>
        </w:rPr>
        <w:t>di volere</w:t>
      </w:r>
      <w:r w:rsidR="007D2F5A" w:rsidRPr="007D2F5A">
        <w:rPr>
          <w:rFonts w:ascii="Arial" w:hAnsi="Arial" w:cs="Arial"/>
          <w:sz w:val="22"/>
          <w:szCs w:val="22"/>
        </w:rPr>
        <w:t xml:space="preserve"> un'ulteriore estensione al processo dell'articolo 50 e di incontrare il Leader dell'opposizione per concordare un accordo che ottene</w:t>
      </w:r>
      <w:r w:rsidR="003B2379">
        <w:rPr>
          <w:rFonts w:ascii="Arial" w:hAnsi="Arial" w:cs="Arial"/>
          <w:sz w:val="22"/>
          <w:szCs w:val="22"/>
        </w:rPr>
        <w:t>ss</w:t>
      </w:r>
      <w:r w:rsidR="007D2F5A" w:rsidRPr="007D2F5A">
        <w:rPr>
          <w:rFonts w:ascii="Arial" w:hAnsi="Arial" w:cs="Arial"/>
          <w:sz w:val="22"/>
          <w:szCs w:val="22"/>
        </w:rPr>
        <w:t>e il sostegno dei parlamentari.</w:t>
      </w:r>
      <w:r>
        <w:rPr>
          <w:rFonts w:ascii="Arial" w:hAnsi="Arial" w:cs="Arial"/>
          <w:sz w:val="22"/>
          <w:szCs w:val="22"/>
        </w:rPr>
        <w:t xml:space="preserve"> </w:t>
      </w:r>
      <w:r w:rsidR="007D2F5A" w:rsidRPr="00122B38">
        <w:rPr>
          <w:rFonts w:ascii="Arial" w:hAnsi="Arial" w:cs="Arial"/>
          <w:b/>
          <w:sz w:val="22"/>
          <w:szCs w:val="22"/>
        </w:rPr>
        <w:t>In una riunione del Consiglio europeo del 10 aprile 2019, il Regno Unito e l'UE27 hanno deciso di estendere l'articolo 50 fino al 31 ottobre 2019.</w:t>
      </w:r>
    </w:p>
    <w:p w14:paraId="26FBB128" w14:textId="77777777" w:rsidR="00B647A9" w:rsidRPr="00B647A9" w:rsidRDefault="00B647A9" w:rsidP="00B647A9">
      <w:pPr>
        <w:tabs>
          <w:tab w:val="left" w:pos="2940"/>
        </w:tabs>
        <w:spacing w:line="320" w:lineRule="exact"/>
        <w:jc w:val="both"/>
        <w:rPr>
          <w:rFonts w:ascii="Arial" w:hAnsi="Arial" w:cs="Arial"/>
          <w:b/>
        </w:rPr>
      </w:pPr>
    </w:p>
    <w:p w14:paraId="402C631F" w14:textId="43F0969B" w:rsidR="00B647A9" w:rsidRPr="003B2379" w:rsidRDefault="003B2379" w:rsidP="0081443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940"/>
        </w:tabs>
        <w:jc w:val="center"/>
        <w:rPr>
          <w:rFonts w:ascii="Arial" w:hAnsi="Arial" w:cs="Arial"/>
          <w:b/>
          <w:i/>
          <w:sz w:val="20"/>
          <w:szCs w:val="20"/>
        </w:rPr>
      </w:pPr>
      <w:r>
        <w:rPr>
          <w:rFonts w:ascii="Arial" w:hAnsi="Arial" w:cs="Arial"/>
          <w:b/>
          <w:i/>
          <w:sz w:val="20"/>
          <w:szCs w:val="20"/>
        </w:rPr>
        <w:t>Cosa prevede l’</w:t>
      </w:r>
      <w:r w:rsidR="00B647A9" w:rsidRPr="003B2379">
        <w:rPr>
          <w:rFonts w:ascii="Arial" w:hAnsi="Arial" w:cs="Arial"/>
          <w:b/>
          <w:i/>
          <w:sz w:val="20"/>
          <w:szCs w:val="20"/>
        </w:rPr>
        <w:t>Accordo per la Brexit di Theresa May</w:t>
      </w:r>
    </w:p>
    <w:p w14:paraId="39540B22" w14:textId="2FEC9A31" w:rsidR="007C3C2E" w:rsidRPr="003B2379" w:rsidRDefault="000D172B" w:rsidP="0081443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940"/>
        </w:tabs>
        <w:jc w:val="both"/>
        <w:rPr>
          <w:rFonts w:ascii="Arial" w:hAnsi="Arial" w:cs="Arial"/>
          <w:sz w:val="20"/>
          <w:szCs w:val="20"/>
        </w:rPr>
      </w:pPr>
      <w:r>
        <w:rPr>
          <w:rFonts w:ascii="Arial" w:hAnsi="Arial" w:cs="Arial"/>
          <w:sz w:val="20"/>
          <w:szCs w:val="20"/>
        </w:rPr>
        <w:t>I principali punti dell</w:t>
      </w:r>
      <w:r w:rsidR="00B647A9" w:rsidRPr="003B2379">
        <w:rPr>
          <w:rFonts w:ascii="Arial" w:hAnsi="Arial" w:cs="Arial"/>
          <w:sz w:val="20"/>
          <w:szCs w:val="20"/>
        </w:rPr>
        <w:t>’accordo per l</w:t>
      </w:r>
      <w:r w:rsidR="0095313A" w:rsidRPr="003B2379">
        <w:rPr>
          <w:rFonts w:ascii="Arial" w:hAnsi="Arial" w:cs="Arial"/>
          <w:sz w:val="20"/>
          <w:szCs w:val="20"/>
        </w:rPr>
        <w:t>’uscita del Regno Unito dall’Unione europea (“</w:t>
      </w:r>
      <w:r w:rsidR="0095313A" w:rsidRPr="003B2379">
        <w:rPr>
          <w:rFonts w:ascii="Arial" w:hAnsi="Arial" w:cs="Arial"/>
          <w:i/>
          <w:sz w:val="20"/>
          <w:szCs w:val="20"/>
        </w:rPr>
        <w:t>the Brexit withdrawal agreement”)</w:t>
      </w:r>
      <w:r w:rsidR="003B2379" w:rsidRPr="003B2379">
        <w:rPr>
          <w:rFonts w:ascii="Arial" w:hAnsi="Arial" w:cs="Arial"/>
          <w:sz w:val="20"/>
          <w:szCs w:val="20"/>
        </w:rPr>
        <w:t xml:space="preserve">, </w:t>
      </w:r>
      <w:r w:rsidR="0095313A" w:rsidRPr="003B2379">
        <w:rPr>
          <w:rFonts w:ascii="Arial" w:hAnsi="Arial" w:cs="Arial"/>
          <w:sz w:val="20"/>
          <w:szCs w:val="20"/>
        </w:rPr>
        <w:t xml:space="preserve">raggiunto il 14 novembre 2018 </w:t>
      </w:r>
      <w:r w:rsidR="003B2379" w:rsidRPr="003B2379">
        <w:rPr>
          <w:rFonts w:ascii="Arial" w:hAnsi="Arial" w:cs="Arial"/>
          <w:sz w:val="20"/>
          <w:szCs w:val="20"/>
        </w:rPr>
        <w:t>tra i</w:t>
      </w:r>
      <w:r w:rsidR="0095313A" w:rsidRPr="003B2379">
        <w:rPr>
          <w:rFonts w:ascii="Arial" w:hAnsi="Arial" w:cs="Arial"/>
          <w:sz w:val="20"/>
          <w:szCs w:val="20"/>
        </w:rPr>
        <w:t xml:space="preserve"> 27 Paesi dell’Ue e </w:t>
      </w:r>
      <w:r w:rsidR="003B2379" w:rsidRPr="003B2379">
        <w:rPr>
          <w:rFonts w:ascii="Arial" w:hAnsi="Arial" w:cs="Arial"/>
          <w:sz w:val="20"/>
          <w:szCs w:val="20"/>
        </w:rPr>
        <w:t>i</w:t>
      </w:r>
      <w:r w:rsidR="0095313A" w:rsidRPr="003B2379">
        <w:rPr>
          <w:rFonts w:ascii="Arial" w:hAnsi="Arial" w:cs="Arial"/>
          <w:sz w:val="20"/>
          <w:szCs w:val="20"/>
        </w:rPr>
        <w:t>l Governo May</w:t>
      </w:r>
      <w:r>
        <w:rPr>
          <w:rFonts w:ascii="Arial" w:hAnsi="Arial" w:cs="Arial"/>
          <w:sz w:val="20"/>
          <w:szCs w:val="20"/>
        </w:rPr>
        <w:t xml:space="preserve">, </w:t>
      </w:r>
      <w:r w:rsidR="007C3C2E" w:rsidRPr="003B2379">
        <w:rPr>
          <w:rFonts w:ascii="Arial" w:hAnsi="Arial" w:cs="Arial"/>
          <w:sz w:val="20"/>
          <w:szCs w:val="20"/>
        </w:rPr>
        <w:t>sono</w:t>
      </w:r>
      <w:r>
        <w:rPr>
          <w:rFonts w:ascii="Arial" w:hAnsi="Arial" w:cs="Arial"/>
          <w:sz w:val="20"/>
          <w:szCs w:val="20"/>
        </w:rPr>
        <w:t xml:space="preserve"> i seguenti</w:t>
      </w:r>
      <w:r w:rsidR="007C3C2E" w:rsidRPr="003B2379">
        <w:rPr>
          <w:rFonts w:ascii="Arial" w:hAnsi="Arial" w:cs="Arial"/>
          <w:sz w:val="20"/>
          <w:szCs w:val="20"/>
        </w:rPr>
        <w:t>:</w:t>
      </w:r>
    </w:p>
    <w:p w14:paraId="77F24B35" w14:textId="77777777" w:rsidR="003B2379" w:rsidRDefault="003B2379" w:rsidP="0081443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940"/>
        </w:tabs>
        <w:jc w:val="both"/>
        <w:rPr>
          <w:rFonts w:ascii="Arial" w:hAnsi="Arial" w:cs="Arial"/>
          <w:b/>
          <w:bCs/>
          <w:sz w:val="20"/>
          <w:szCs w:val="20"/>
        </w:rPr>
      </w:pPr>
    </w:p>
    <w:p w14:paraId="104F266D" w14:textId="43002759" w:rsidR="007C3C2E" w:rsidRPr="003B2379" w:rsidRDefault="00B85371" w:rsidP="0081443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940"/>
        </w:tabs>
        <w:jc w:val="both"/>
        <w:rPr>
          <w:rFonts w:ascii="Arial" w:hAnsi="Arial" w:cs="Arial"/>
          <w:sz w:val="20"/>
          <w:szCs w:val="20"/>
        </w:rPr>
      </w:pPr>
      <w:r w:rsidRPr="003B2379">
        <w:rPr>
          <w:rFonts w:ascii="Arial" w:hAnsi="Arial" w:cs="Arial"/>
          <w:b/>
          <w:bCs/>
          <w:sz w:val="20"/>
          <w:szCs w:val="20"/>
        </w:rPr>
        <w:t>D</w:t>
      </w:r>
      <w:r w:rsidR="007C3C2E" w:rsidRPr="003B2379">
        <w:rPr>
          <w:rFonts w:ascii="Arial" w:hAnsi="Arial" w:cs="Arial"/>
          <w:b/>
          <w:bCs/>
          <w:sz w:val="20"/>
          <w:szCs w:val="20"/>
        </w:rPr>
        <w:t>iritti dei cittadini europei</w:t>
      </w:r>
      <w:r w:rsidR="007C3C2E" w:rsidRPr="003B2379">
        <w:rPr>
          <w:rFonts w:ascii="Arial" w:hAnsi="Arial" w:cs="Arial"/>
          <w:b/>
          <w:sz w:val="20"/>
          <w:szCs w:val="20"/>
        </w:rPr>
        <w:t> che vivono nel territorio britannico e dei cittadini britannici che vivono all’interno dell’Unione:</w:t>
      </w:r>
      <w:r w:rsidR="005B5944" w:rsidRPr="003B2379">
        <w:rPr>
          <w:rFonts w:ascii="Arial" w:hAnsi="Arial" w:cs="Arial"/>
          <w:sz w:val="20"/>
          <w:szCs w:val="20"/>
        </w:rPr>
        <w:t xml:space="preserve"> entrambe le categorie di cittadini </w:t>
      </w:r>
      <w:r w:rsidRPr="003B2379">
        <w:rPr>
          <w:rFonts w:ascii="Arial" w:hAnsi="Arial" w:cs="Arial"/>
          <w:sz w:val="20"/>
          <w:szCs w:val="20"/>
        </w:rPr>
        <w:t>possono mantenere</w:t>
      </w:r>
      <w:r w:rsidR="005B5944" w:rsidRPr="003B2379">
        <w:rPr>
          <w:rFonts w:ascii="Arial" w:hAnsi="Arial" w:cs="Arial"/>
          <w:sz w:val="20"/>
          <w:szCs w:val="20"/>
        </w:rPr>
        <w:t xml:space="preserve"> il diritto di restare nel territorio “ospite” se ci abitano da più di cinque anni, e che durante il periodo di transizione – </w:t>
      </w:r>
      <w:r w:rsidRPr="003B2379">
        <w:rPr>
          <w:rFonts w:ascii="Arial" w:hAnsi="Arial" w:cs="Arial"/>
          <w:sz w:val="20"/>
          <w:szCs w:val="20"/>
        </w:rPr>
        <w:t>inizialmente previsto</w:t>
      </w:r>
      <w:r w:rsidR="005B5944" w:rsidRPr="003B2379">
        <w:rPr>
          <w:rFonts w:ascii="Arial" w:hAnsi="Arial" w:cs="Arial"/>
          <w:sz w:val="20"/>
          <w:szCs w:val="20"/>
        </w:rPr>
        <w:t xml:space="preserve"> fino al 31 dicembre 2020 – i cittadini dell’Unione Europea che si trasferiranno nel Regno Unito avranno gli stessi diritti di quelli arrivati prima</w:t>
      </w:r>
      <w:r w:rsidRPr="003B2379">
        <w:rPr>
          <w:rFonts w:ascii="Arial" w:hAnsi="Arial" w:cs="Arial"/>
          <w:sz w:val="20"/>
          <w:szCs w:val="20"/>
        </w:rPr>
        <w:t>;</w:t>
      </w:r>
      <w:r w:rsidR="005B5944" w:rsidRPr="003B2379">
        <w:rPr>
          <w:rFonts w:ascii="Arial" w:hAnsi="Arial" w:cs="Arial"/>
          <w:sz w:val="20"/>
          <w:szCs w:val="20"/>
        </w:rPr>
        <w:t xml:space="preserve">  </w:t>
      </w:r>
    </w:p>
    <w:p w14:paraId="5F960831" w14:textId="77777777" w:rsidR="003B2379" w:rsidRDefault="003B2379" w:rsidP="0081443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940"/>
        </w:tabs>
        <w:jc w:val="both"/>
        <w:rPr>
          <w:rFonts w:ascii="Arial" w:hAnsi="Arial" w:cs="Arial"/>
          <w:b/>
          <w:bCs/>
          <w:sz w:val="20"/>
          <w:szCs w:val="20"/>
        </w:rPr>
      </w:pPr>
    </w:p>
    <w:p w14:paraId="7A96298F" w14:textId="7A9386AA" w:rsidR="00122B38" w:rsidRPr="003B2379" w:rsidRDefault="00B85371" w:rsidP="0081443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940"/>
        </w:tabs>
        <w:jc w:val="both"/>
        <w:rPr>
          <w:rFonts w:ascii="Arial" w:hAnsi="Arial" w:cs="Arial"/>
          <w:bCs/>
          <w:sz w:val="20"/>
          <w:szCs w:val="20"/>
        </w:rPr>
      </w:pPr>
      <w:r w:rsidRPr="003B2379">
        <w:rPr>
          <w:rFonts w:ascii="Arial" w:hAnsi="Arial" w:cs="Arial"/>
          <w:b/>
          <w:bCs/>
          <w:sz w:val="20"/>
          <w:szCs w:val="20"/>
        </w:rPr>
        <w:t>Istituzione di un periodo di transizione</w:t>
      </w:r>
      <w:r w:rsidRPr="003B2379">
        <w:rPr>
          <w:rFonts w:ascii="Arial" w:hAnsi="Arial" w:cs="Arial"/>
          <w:bCs/>
          <w:sz w:val="20"/>
          <w:szCs w:val="20"/>
        </w:rPr>
        <w:t xml:space="preserve"> </w:t>
      </w:r>
      <w:r w:rsidRPr="003B2379">
        <w:rPr>
          <w:rFonts w:ascii="Arial" w:hAnsi="Arial" w:cs="Arial"/>
          <w:b/>
          <w:bCs/>
          <w:sz w:val="20"/>
          <w:szCs w:val="20"/>
        </w:rPr>
        <w:t>(</w:t>
      </w:r>
      <w:r w:rsidR="000A2989">
        <w:rPr>
          <w:rFonts w:ascii="Arial" w:hAnsi="Arial" w:cs="Arial"/>
          <w:b/>
          <w:bCs/>
          <w:sz w:val="20"/>
          <w:szCs w:val="20"/>
        </w:rPr>
        <w:t xml:space="preserve">inizialmente previsto </w:t>
      </w:r>
      <w:r w:rsidRPr="003B2379">
        <w:rPr>
          <w:rFonts w:ascii="Arial" w:hAnsi="Arial" w:cs="Arial"/>
          <w:b/>
          <w:bCs/>
          <w:sz w:val="20"/>
          <w:szCs w:val="20"/>
        </w:rPr>
        <w:t>fino al 31 dicembre 2020)</w:t>
      </w:r>
      <w:r w:rsidRPr="003B2379">
        <w:rPr>
          <w:rFonts w:ascii="Arial" w:hAnsi="Arial" w:cs="Arial"/>
          <w:bCs/>
          <w:sz w:val="20"/>
          <w:szCs w:val="20"/>
        </w:rPr>
        <w:t xml:space="preserve">: durante il quale la situazione rimarrebbe invariata. Il periodo di transizione </w:t>
      </w:r>
      <w:r w:rsidR="00122B38" w:rsidRPr="003B2379">
        <w:rPr>
          <w:rFonts w:ascii="Arial" w:hAnsi="Arial" w:cs="Arial"/>
          <w:bCs/>
          <w:sz w:val="20"/>
          <w:szCs w:val="20"/>
        </w:rPr>
        <w:t>servirebbe per avviare i</w:t>
      </w:r>
      <w:r w:rsidRPr="003B2379">
        <w:rPr>
          <w:rFonts w:ascii="Arial" w:hAnsi="Arial" w:cs="Arial"/>
          <w:bCs/>
          <w:sz w:val="20"/>
          <w:szCs w:val="20"/>
        </w:rPr>
        <w:t xml:space="preserve"> negoziati per la definizione di un accordo per regolare le future relazioni tra le parti nel post Brexit, tra cui quelle commerciali. </w:t>
      </w:r>
      <w:r w:rsidR="00FB04E4">
        <w:rPr>
          <w:rFonts w:ascii="Arial" w:hAnsi="Arial" w:cs="Arial"/>
          <w:bCs/>
          <w:sz w:val="20"/>
          <w:szCs w:val="20"/>
        </w:rPr>
        <w:t>Co</w:t>
      </w:r>
      <w:r w:rsidRPr="003B2379">
        <w:rPr>
          <w:rFonts w:ascii="Arial" w:hAnsi="Arial" w:cs="Arial"/>
          <w:bCs/>
          <w:sz w:val="20"/>
          <w:szCs w:val="20"/>
        </w:rPr>
        <w:t xml:space="preserve">rollario di questo punto dell’accordo è da considerare la dichiarazione di intenti sottoscritta da Commissione Europea e Governo Britannico </w:t>
      </w:r>
      <w:r w:rsidR="00122B38" w:rsidRPr="003B2379">
        <w:rPr>
          <w:rFonts w:ascii="Arial" w:hAnsi="Arial" w:cs="Arial"/>
          <w:bCs/>
          <w:sz w:val="20"/>
          <w:szCs w:val="20"/>
        </w:rPr>
        <w:t>(Political Declaration)</w:t>
      </w:r>
      <w:r w:rsidR="00FB04E4">
        <w:rPr>
          <w:rFonts w:ascii="Arial" w:hAnsi="Arial" w:cs="Arial"/>
          <w:bCs/>
          <w:sz w:val="20"/>
          <w:szCs w:val="20"/>
        </w:rPr>
        <w:t xml:space="preserve">. </w:t>
      </w:r>
    </w:p>
    <w:p w14:paraId="423DAE41" w14:textId="77777777" w:rsidR="000D172B" w:rsidRDefault="000D172B" w:rsidP="0081443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940"/>
        </w:tabs>
        <w:jc w:val="both"/>
        <w:rPr>
          <w:rFonts w:ascii="Arial" w:hAnsi="Arial" w:cs="Arial"/>
          <w:b/>
          <w:bCs/>
          <w:sz w:val="20"/>
          <w:szCs w:val="20"/>
        </w:rPr>
      </w:pPr>
    </w:p>
    <w:p w14:paraId="03A45D32" w14:textId="1BE1D88F" w:rsidR="00122B38" w:rsidRPr="000D172B" w:rsidRDefault="00122B38" w:rsidP="0081443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940"/>
        </w:tabs>
        <w:jc w:val="both"/>
        <w:rPr>
          <w:rFonts w:ascii="Arial" w:hAnsi="Arial" w:cs="Arial"/>
          <w:bCs/>
          <w:sz w:val="20"/>
          <w:szCs w:val="20"/>
        </w:rPr>
      </w:pPr>
      <w:r w:rsidRPr="000D172B">
        <w:rPr>
          <w:rFonts w:ascii="Arial" w:hAnsi="Arial" w:cs="Arial"/>
          <w:b/>
          <w:bCs/>
          <w:sz w:val="20"/>
          <w:szCs w:val="20"/>
        </w:rPr>
        <w:t>Il confine tra Irlanda e Irlanda del Nord</w:t>
      </w:r>
      <w:r w:rsidRPr="000D172B">
        <w:rPr>
          <w:rFonts w:ascii="Arial" w:hAnsi="Arial" w:cs="Arial"/>
          <w:sz w:val="20"/>
          <w:szCs w:val="20"/>
        </w:rPr>
        <w:t xml:space="preserve"> (</w:t>
      </w:r>
      <w:r w:rsidRPr="000D172B">
        <w:rPr>
          <w:rFonts w:ascii="Arial" w:hAnsi="Arial" w:cs="Arial"/>
          <w:bCs/>
          <w:sz w:val="20"/>
          <w:szCs w:val="20"/>
        </w:rPr>
        <w:t xml:space="preserve">c.d. “backstop”): secondo il quale l’Irlanda del Nord rimarrebbe nell’Unione doganale con l’UE fino a quando non fosse approvato l’accordo per regolare le future relazioni tra le parti. Ed è stato proprio questo punto la principale causa della mancata approvazione a Westminster del Withdrawal Agreement, vista l’opposizione di numerosi parlamentari britannici, anche </w:t>
      </w:r>
      <w:r w:rsidRPr="002C6A4F">
        <w:rPr>
          <w:rFonts w:ascii="Arial" w:hAnsi="Arial" w:cs="Arial"/>
          <w:bCs/>
          <w:i/>
          <w:sz w:val="20"/>
          <w:szCs w:val="20"/>
        </w:rPr>
        <w:t>conservatives</w:t>
      </w:r>
      <w:r w:rsidRPr="000D172B">
        <w:rPr>
          <w:rFonts w:ascii="Arial" w:hAnsi="Arial" w:cs="Arial"/>
          <w:bCs/>
          <w:sz w:val="20"/>
          <w:szCs w:val="20"/>
        </w:rPr>
        <w:t>, che temevano che un mancato accordo sulle future relazioni al termine del periodo di transizione potesse determinare un disallineamento tra l’Irlanda del Nord ed il resto del Regno Unito.</w:t>
      </w:r>
    </w:p>
    <w:p w14:paraId="79DC2EF8" w14:textId="77777777" w:rsidR="000D172B" w:rsidRDefault="000D172B" w:rsidP="0081443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940"/>
        </w:tabs>
        <w:jc w:val="both"/>
        <w:rPr>
          <w:rFonts w:ascii="Arial" w:hAnsi="Arial" w:cs="Arial"/>
          <w:b/>
          <w:bCs/>
          <w:sz w:val="20"/>
          <w:szCs w:val="20"/>
        </w:rPr>
      </w:pPr>
    </w:p>
    <w:p w14:paraId="50AFF102" w14:textId="58BE66D7" w:rsidR="00FB04E4" w:rsidRPr="008C1F1C" w:rsidRDefault="005B5944" w:rsidP="008C1F1C">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940"/>
        </w:tabs>
        <w:jc w:val="both"/>
        <w:rPr>
          <w:rFonts w:ascii="Arial" w:hAnsi="Arial" w:cs="Arial"/>
          <w:sz w:val="20"/>
          <w:szCs w:val="20"/>
        </w:rPr>
      </w:pPr>
      <w:r w:rsidRPr="000D172B">
        <w:rPr>
          <w:rFonts w:ascii="Arial" w:hAnsi="Arial" w:cs="Arial"/>
          <w:b/>
          <w:bCs/>
          <w:sz w:val="20"/>
          <w:szCs w:val="20"/>
        </w:rPr>
        <w:t xml:space="preserve">Aspetti finanziari: </w:t>
      </w:r>
      <w:r w:rsidRPr="000D172B">
        <w:rPr>
          <w:rFonts w:ascii="Arial" w:hAnsi="Arial" w:cs="Arial"/>
          <w:bCs/>
          <w:sz w:val="20"/>
          <w:szCs w:val="20"/>
        </w:rPr>
        <w:t xml:space="preserve">il Regno Unito </w:t>
      </w:r>
      <w:r w:rsidR="00A43F9C" w:rsidRPr="000D172B">
        <w:rPr>
          <w:rFonts w:ascii="Arial" w:hAnsi="Arial" w:cs="Arial"/>
          <w:bCs/>
          <w:sz w:val="20"/>
          <w:szCs w:val="20"/>
        </w:rPr>
        <w:t>dovrà</w:t>
      </w:r>
      <w:r w:rsidRPr="000D172B">
        <w:rPr>
          <w:rFonts w:ascii="Arial" w:hAnsi="Arial" w:cs="Arial"/>
          <w:bCs/>
          <w:sz w:val="20"/>
          <w:szCs w:val="20"/>
        </w:rPr>
        <w:t xml:space="preserve"> versare £ 39 mld all’Ue per coprire il suo contributo al budget dell’Unione fino al 2020</w:t>
      </w:r>
      <w:r w:rsidR="00A43F9C" w:rsidRPr="000D172B">
        <w:rPr>
          <w:rFonts w:ascii="Arial" w:hAnsi="Arial" w:cs="Arial"/>
          <w:bCs/>
          <w:sz w:val="20"/>
          <w:szCs w:val="20"/>
        </w:rPr>
        <w:t xml:space="preserve"> oltre altri impegni già assunti</w:t>
      </w:r>
      <w:r w:rsidR="0081443A">
        <w:rPr>
          <w:rFonts w:ascii="Arial" w:hAnsi="Arial" w:cs="Arial"/>
          <w:bCs/>
          <w:sz w:val="20"/>
          <w:szCs w:val="20"/>
        </w:rPr>
        <w:t>.</w:t>
      </w:r>
    </w:p>
    <w:p w14:paraId="6F094594" w14:textId="6F168A70" w:rsidR="00FB04E4" w:rsidRDefault="00FB04E4" w:rsidP="00122B38">
      <w:pPr>
        <w:pStyle w:val="ListParagraph"/>
        <w:tabs>
          <w:tab w:val="left" w:pos="2940"/>
        </w:tabs>
        <w:spacing w:line="320" w:lineRule="exact"/>
        <w:jc w:val="both"/>
        <w:rPr>
          <w:rFonts w:ascii="Arial" w:eastAsiaTheme="minorEastAsia" w:hAnsi="Arial" w:cs="Arial"/>
          <w:bCs/>
          <w:sz w:val="24"/>
          <w:szCs w:val="24"/>
          <w:lang w:val="it-IT"/>
        </w:rPr>
      </w:pPr>
    </w:p>
    <w:p w14:paraId="4EC9CF77" w14:textId="77777777" w:rsidR="003B7FCF" w:rsidRDefault="003B7FCF" w:rsidP="00122B38">
      <w:pPr>
        <w:pStyle w:val="ListParagraph"/>
        <w:tabs>
          <w:tab w:val="left" w:pos="2940"/>
        </w:tabs>
        <w:spacing w:line="320" w:lineRule="exact"/>
        <w:jc w:val="both"/>
        <w:rPr>
          <w:rFonts w:ascii="Arial" w:eastAsiaTheme="minorEastAsia" w:hAnsi="Arial" w:cs="Arial"/>
          <w:bCs/>
          <w:sz w:val="24"/>
          <w:szCs w:val="24"/>
          <w:lang w:val="it-IT"/>
        </w:rPr>
      </w:pPr>
    </w:p>
    <w:p w14:paraId="2476B357" w14:textId="6288AD00" w:rsidR="0081443A" w:rsidRPr="000A2989" w:rsidRDefault="000A2989" w:rsidP="002C6A4F">
      <w:pPr>
        <w:pStyle w:val="ListParagraph"/>
        <w:numPr>
          <w:ilvl w:val="0"/>
          <w:numId w:val="15"/>
        </w:numPr>
        <w:tabs>
          <w:tab w:val="left" w:pos="2940"/>
        </w:tabs>
        <w:ind w:left="284" w:hanging="284"/>
        <w:jc w:val="both"/>
        <w:rPr>
          <w:rFonts w:ascii="Arial" w:hAnsi="Arial" w:cs="Arial"/>
          <w:b/>
          <w:i/>
          <w:sz w:val="20"/>
          <w:szCs w:val="20"/>
        </w:rPr>
      </w:pPr>
      <w:proofErr w:type="spellStart"/>
      <w:r w:rsidRPr="000A2989">
        <w:rPr>
          <w:rFonts w:ascii="Arial" w:hAnsi="Arial" w:cs="Arial"/>
          <w:b/>
          <w:i/>
          <w:sz w:val="20"/>
          <w:szCs w:val="20"/>
        </w:rPr>
        <w:lastRenderedPageBreak/>
        <w:t>Prossimi</w:t>
      </w:r>
      <w:proofErr w:type="spellEnd"/>
      <w:r w:rsidRPr="000A2989">
        <w:rPr>
          <w:rFonts w:ascii="Arial" w:hAnsi="Arial" w:cs="Arial"/>
          <w:b/>
          <w:i/>
          <w:sz w:val="20"/>
          <w:szCs w:val="20"/>
        </w:rPr>
        <w:t xml:space="preserve"> </w:t>
      </w:r>
      <w:proofErr w:type="spellStart"/>
      <w:r w:rsidRPr="000A2989">
        <w:rPr>
          <w:rFonts w:ascii="Arial" w:hAnsi="Arial" w:cs="Arial"/>
          <w:b/>
          <w:i/>
          <w:sz w:val="20"/>
          <w:szCs w:val="20"/>
        </w:rPr>
        <w:t>possibili</w:t>
      </w:r>
      <w:proofErr w:type="spellEnd"/>
      <w:r w:rsidRPr="000A2989">
        <w:rPr>
          <w:rFonts w:ascii="Arial" w:hAnsi="Arial" w:cs="Arial"/>
          <w:b/>
          <w:i/>
          <w:sz w:val="20"/>
          <w:szCs w:val="20"/>
        </w:rPr>
        <w:t xml:space="preserve"> </w:t>
      </w:r>
      <w:proofErr w:type="spellStart"/>
      <w:r w:rsidRPr="000A2989">
        <w:rPr>
          <w:rFonts w:ascii="Arial" w:hAnsi="Arial" w:cs="Arial"/>
          <w:b/>
          <w:i/>
          <w:sz w:val="20"/>
          <w:szCs w:val="20"/>
        </w:rPr>
        <w:t>scenari</w:t>
      </w:r>
      <w:proofErr w:type="spellEnd"/>
    </w:p>
    <w:p w14:paraId="650CD1BD" w14:textId="74873E9E" w:rsidR="002C6A4F" w:rsidRDefault="0081443A" w:rsidP="00A66186">
      <w:pPr>
        <w:pStyle w:val="HTMLPreformatted"/>
        <w:shd w:val="clear" w:color="auto" w:fill="FFFFFF"/>
        <w:jc w:val="both"/>
        <w:rPr>
          <w:rFonts w:ascii="Arial" w:hAnsi="Arial" w:cs="Arial"/>
          <w:sz w:val="22"/>
          <w:szCs w:val="22"/>
        </w:rPr>
      </w:pPr>
      <w:r>
        <w:rPr>
          <w:rFonts w:ascii="Arial" w:hAnsi="Arial" w:cs="Arial"/>
          <w:bCs/>
          <w:sz w:val="24"/>
          <w:szCs w:val="24"/>
        </w:rPr>
        <w:t>I</w:t>
      </w:r>
      <w:r w:rsidR="000D172B" w:rsidRPr="000D172B">
        <w:rPr>
          <w:rFonts w:ascii="Arial" w:hAnsi="Arial" w:cs="Arial"/>
          <w:sz w:val="22"/>
          <w:szCs w:val="22"/>
        </w:rPr>
        <w:t xml:space="preserve">l </w:t>
      </w:r>
      <w:r w:rsidR="002C6A4F">
        <w:rPr>
          <w:rFonts w:ascii="Arial" w:hAnsi="Arial" w:cs="Arial"/>
          <w:sz w:val="22"/>
          <w:szCs w:val="22"/>
        </w:rPr>
        <w:t xml:space="preserve">10 aprile u.s., il </w:t>
      </w:r>
      <w:r w:rsidR="000D172B" w:rsidRPr="000D172B">
        <w:rPr>
          <w:rFonts w:ascii="Arial" w:hAnsi="Arial" w:cs="Arial"/>
          <w:sz w:val="22"/>
          <w:szCs w:val="22"/>
        </w:rPr>
        <w:t xml:space="preserve">Regno Unito ha </w:t>
      </w:r>
      <w:r w:rsidR="000D172B">
        <w:rPr>
          <w:rFonts w:ascii="Arial" w:hAnsi="Arial" w:cs="Arial"/>
          <w:sz w:val="22"/>
          <w:szCs w:val="22"/>
        </w:rPr>
        <w:t xml:space="preserve">ottenuto </w:t>
      </w:r>
      <w:r w:rsidR="00FB04E4">
        <w:rPr>
          <w:rFonts w:ascii="Arial" w:hAnsi="Arial" w:cs="Arial"/>
          <w:sz w:val="22"/>
          <w:szCs w:val="22"/>
        </w:rPr>
        <w:t xml:space="preserve">da parte dell’Ue </w:t>
      </w:r>
      <w:r w:rsidR="000D172B">
        <w:rPr>
          <w:rFonts w:ascii="Arial" w:hAnsi="Arial" w:cs="Arial"/>
          <w:sz w:val="22"/>
          <w:szCs w:val="22"/>
        </w:rPr>
        <w:t xml:space="preserve">un’estensione </w:t>
      </w:r>
      <w:r w:rsidR="001D2CF5">
        <w:rPr>
          <w:rFonts w:ascii="Arial" w:hAnsi="Arial" w:cs="Arial"/>
          <w:sz w:val="22"/>
          <w:szCs w:val="22"/>
        </w:rPr>
        <w:t xml:space="preserve">di </w:t>
      </w:r>
      <w:r w:rsidR="000D172B" w:rsidRPr="000D172B">
        <w:rPr>
          <w:rFonts w:ascii="Arial" w:hAnsi="Arial" w:cs="Arial"/>
          <w:sz w:val="22"/>
          <w:szCs w:val="22"/>
        </w:rPr>
        <w:t>poco più di sei mesi per decidere cosa fare</w:t>
      </w:r>
      <w:r w:rsidR="00FB04E4">
        <w:rPr>
          <w:rFonts w:ascii="Arial" w:hAnsi="Arial" w:cs="Arial"/>
          <w:sz w:val="22"/>
          <w:szCs w:val="22"/>
        </w:rPr>
        <w:t xml:space="preserve"> in merito alla Brexit</w:t>
      </w:r>
      <w:r w:rsidR="000D172B" w:rsidRPr="000D172B">
        <w:rPr>
          <w:rFonts w:ascii="Arial" w:hAnsi="Arial" w:cs="Arial"/>
          <w:sz w:val="22"/>
          <w:szCs w:val="22"/>
        </w:rPr>
        <w:t>.</w:t>
      </w:r>
      <w:r w:rsidR="00A66186">
        <w:rPr>
          <w:rFonts w:ascii="Arial" w:hAnsi="Arial" w:cs="Arial"/>
          <w:sz w:val="22"/>
          <w:szCs w:val="22"/>
        </w:rPr>
        <w:t xml:space="preserve"> </w:t>
      </w:r>
      <w:r w:rsidR="00FB04E4">
        <w:rPr>
          <w:rFonts w:ascii="Arial" w:hAnsi="Arial" w:cs="Arial"/>
          <w:sz w:val="22"/>
          <w:szCs w:val="22"/>
        </w:rPr>
        <w:t xml:space="preserve">Attualmente, </w:t>
      </w:r>
      <w:r w:rsidR="008630B5">
        <w:rPr>
          <w:rFonts w:ascii="Arial" w:hAnsi="Arial" w:cs="Arial"/>
          <w:sz w:val="22"/>
          <w:szCs w:val="22"/>
        </w:rPr>
        <w:t>la Premiere Theresa May</w:t>
      </w:r>
      <w:r w:rsidR="000D172B" w:rsidRPr="000D172B">
        <w:rPr>
          <w:rFonts w:ascii="Arial" w:hAnsi="Arial" w:cs="Arial"/>
          <w:sz w:val="22"/>
          <w:szCs w:val="22"/>
        </w:rPr>
        <w:t xml:space="preserve"> </w:t>
      </w:r>
      <w:r w:rsidR="008630B5">
        <w:rPr>
          <w:rFonts w:ascii="Arial" w:hAnsi="Arial" w:cs="Arial"/>
          <w:sz w:val="22"/>
          <w:szCs w:val="22"/>
        </w:rPr>
        <w:t xml:space="preserve">aveva tentato </w:t>
      </w:r>
      <w:r w:rsidR="000D172B" w:rsidRPr="000D172B">
        <w:rPr>
          <w:rFonts w:ascii="Arial" w:hAnsi="Arial" w:cs="Arial"/>
          <w:sz w:val="22"/>
          <w:szCs w:val="22"/>
        </w:rPr>
        <w:t>un accordo di compromesso</w:t>
      </w:r>
      <w:r w:rsidR="008630B5">
        <w:rPr>
          <w:rFonts w:ascii="Arial" w:hAnsi="Arial" w:cs="Arial"/>
          <w:sz w:val="22"/>
          <w:szCs w:val="22"/>
        </w:rPr>
        <w:t xml:space="preserve">  con i laburista</w:t>
      </w:r>
      <w:r w:rsidR="000D172B" w:rsidRPr="000D172B">
        <w:rPr>
          <w:rFonts w:ascii="Arial" w:hAnsi="Arial" w:cs="Arial"/>
          <w:sz w:val="22"/>
          <w:szCs w:val="22"/>
        </w:rPr>
        <w:t xml:space="preserve">. </w:t>
      </w:r>
      <w:r w:rsidR="008630B5">
        <w:rPr>
          <w:rFonts w:ascii="Arial" w:hAnsi="Arial" w:cs="Arial"/>
          <w:sz w:val="22"/>
          <w:szCs w:val="22"/>
        </w:rPr>
        <w:t xml:space="preserve">Fallito questo </w:t>
      </w:r>
      <w:r w:rsidR="00CA5F9E">
        <w:rPr>
          <w:rFonts w:ascii="Arial" w:hAnsi="Arial" w:cs="Arial"/>
          <w:sz w:val="22"/>
          <w:szCs w:val="22"/>
        </w:rPr>
        <w:t>tentativo</w:t>
      </w:r>
      <w:r w:rsidR="008630B5">
        <w:rPr>
          <w:rFonts w:ascii="Arial" w:hAnsi="Arial" w:cs="Arial"/>
          <w:sz w:val="22"/>
          <w:szCs w:val="22"/>
        </w:rPr>
        <w:t xml:space="preserve"> ed accoltti negativamente altre proposte mese in campo, la Premier ha annunciato le proprie dimissioni  a far data dal 7 giugno. Tocchera’ al nuovo leader, che dovrebbe esser in carica nella seconda</w:t>
      </w:r>
      <w:r w:rsidR="00CA5F9E">
        <w:rPr>
          <w:rFonts w:ascii="Arial" w:hAnsi="Arial" w:cs="Arial"/>
          <w:sz w:val="22"/>
          <w:szCs w:val="22"/>
        </w:rPr>
        <w:t xml:space="preserve"> </w:t>
      </w:r>
      <w:r w:rsidR="008630B5">
        <w:rPr>
          <w:rFonts w:ascii="Arial" w:hAnsi="Arial" w:cs="Arial"/>
          <w:sz w:val="22"/>
          <w:szCs w:val="22"/>
        </w:rPr>
        <w:t>meta’ di luglio, cecare di sbrogliare la situazione e ten</w:t>
      </w:r>
      <w:bookmarkStart w:id="1" w:name="_GoBack"/>
      <w:bookmarkEnd w:id="1"/>
      <w:r w:rsidR="008630B5">
        <w:rPr>
          <w:rFonts w:ascii="Arial" w:hAnsi="Arial" w:cs="Arial"/>
          <w:sz w:val="22"/>
          <w:szCs w:val="22"/>
        </w:rPr>
        <w:t>t</w:t>
      </w:r>
      <w:r w:rsidR="00CA5F9E">
        <w:rPr>
          <w:rFonts w:ascii="Arial" w:hAnsi="Arial" w:cs="Arial"/>
          <w:sz w:val="22"/>
          <w:szCs w:val="22"/>
        </w:rPr>
        <w:t>a</w:t>
      </w:r>
      <w:r w:rsidR="008630B5">
        <w:rPr>
          <w:rFonts w:ascii="Arial" w:hAnsi="Arial" w:cs="Arial"/>
          <w:sz w:val="22"/>
          <w:szCs w:val="22"/>
        </w:rPr>
        <w:t>re di trovare un accordo.</w:t>
      </w:r>
    </w:p>
    <w:p w14:paraId="7066E9B1" w14:textId="7C3ED354" w:rsidR="00A66186" w:rsidRDefault="000D172B" w:rsidP="008C1F1C">
      <w:pPr>
        <w:pStyle w:val="HTMLPreformatted"/>
        <w:shd w:val="clear" w:color="auto" w:fill="FFFFFF"/>
        <w:spacing w:after="120"/>
        <w:jc w:val="both"/>
        <w:rPr>
          <w:rFonts w:ascii="Arial" w:hAnsi="Arial" w:cs="Arial"/>
          <w:sz w:val="22"/>
          <w:szCs w:val="22"/>
        </w:rPr>
      </w:pPr>
      <w:r w:rsidRPr="000D172B">
        <w:rPr>
          <w:rFonts w:ascii="Arial" w:hAnsi="Arial" w:cs="Arial"/>
          <w:sz w:val="22"/>
          <w:szCs w:val="22"/>
        </w:rPr>
        <w:t xml:space="preserve">In caso contrario, </w:t>
      </w:r>
      <w:r w:rsidR="002C6A4F">
        <w:rPr>
          <w:rFonts w:ascii="Arial" w:hAnsi="Arial" w:cs="Arial"/>
          <w:sz w:val="22"/>
          <w:szCs w:val="22"/>
        </w:rPr>
        <w:t>le</w:t>
      </w:r>
      <w:r w:rsidRPr="000D172B">
        <w:rPr>
          <w:rFonts w:ascii="Arial" w:hAnsi="Arial" w:cs="Arial"/>
          <w:sz w:val="22"/>
          <w:szCs w:val="22"/>
        </w:rPr>
        <w:t xml:space="preserve"> opzioni </w:t>
      </w:r>
      <w:r w:rsidR="002C6A4F">
        <w:rPr>
          <w:rFonts w:ascii="Arial" w:hAnsi="Arial" w:cs="Arial"/>
          <w:sz w:val="22"/>
          <w:szCs w:val="22"/>
        </w:rPr>
        <w:t>sono le seguenti:</w:t>
      </w:r>
    </w:p>
    <w:p w14:paraId="6748F029" w14:textId="39F4B7E0" w:rsidR="00A66186" w:rsidRPr="008C1F1C" w:rsidRDefault="002C6A4F" w:rsidP="008C1F1C">
      <w:pPr>
        <w:pStyle w:val="HTMLPreformatted"/>
        <w:numPr>
          <w:ilvl w:val="0"/>
          <w:numId w:val="14"/>
        </w:numPr>
        <w:shd w:val="clear" w:color="auto" w:fill="FFFFFF"/>
        <w:spacing w:after="120"/>
        <w:ind w:left="284" w:hanging="284"/>
        <w:jc w:val="both"/>
        <w:rPr>
          <w:rFonts w:ascii="Arial" w:hAnsi="Arial" w:cs="Arial"/>
          <w:bCs/>
          <w:sz w:val="22"/>
          <w:szCs w:val="22"/>
        </w:rPr>
      </w:pPr>
      <w:r>
        <w:rPr>
          <w:rFonts w:ascii="Arial" w:hAnsi="Arial" w:cs="Arial"/>
          <w:b/>
          <w:bCs/>
          <w:sz w:val="22"/>
          <w:szCs w:val="22"/>
        </w:rPr>
        <w:t>Brexit senza accordo</w:t>
      </w:r>
      <w:r w:rsidR="00A66186" w:rsidRPr="001D2CF5">
        <w:rPr>
          <w:rFonts w:ascii="Arial" w:hAnsi="Arial" w:cs="Arial"/>
          <w:bCs/>
          <w:sz w:val="22"/>
          <w:szCs w:val="22"/>
        </w:rPr>
        <w:t xml:space="preserve"> –</w:t>
      </w:r>
      <w:r w:rsidR="00FB04E4">
        <w:rPr>
          <w:rFonts w:ascii="Arial" w:hAnsi="Arial" w:cs="Arial"/>
          <w:bCs/>
          <w:sz w:val="22"/>
          <w:szCs w:val="22"/>
        </w:rPr>
        <w:t xml:space="preserve"> sarebbe</w:t>
      </w:r>
      <w:r w:rsidR="00A66186" w:rsidRPr="00A66186">
        <w:rPr>
          <w:rFonts w:ascii="Arial" w:hAnsi="Arial" w:cs="Arial"/>
          <w:bCs/>
          <w:sz w:val="22"/>
          <w:szCs w:val="22"/>
        </w:rPr>
        <w:t xml:space="preserve"> possibile </w:t>
      </w:r>
      <w:r w:rsidR="001D2CF5">
        <w:rPr>
          <w:rFonts w:ascii="Arial" w:hAnsi="Arial" w:cs="Arial"/>
          <w:bCs/>
          <w:sz w:val="22"/>
          <w:szCs w:val="22"/>
        </w:rPr>
        <w:t>che</w:t>
      </w:r>
      <w:r w:rsidR="00A66186" w:rsidRPr="00A66186">
        <w:rPr>
          <w:rFonts w:ascii="Arial" w:hAnsi="Arial" w:cs="Arial"/>
          <w:bCs/>
          <w:sz w:val="22"/>
          <w:szCs w:val="22"/>
        </w:rPr>
        <w:t xml:space="preserve"> i parlamentari sostene</w:t>
      </w:r>
      <w:r w:rsidR="001D2CF5">
        <w:rPr>
          <w:rFonts w:ascii="Arial" w:hAnsi="Arial" w:cs="Arial"/>
          <w:bCs/>
          <w:sz w:val="22"/>
          <w:szCs w:val="22"/>
        </w:rPr>
        <w:t>ssero</w:t>
      </w:r>
      <w:r w:rsidR="00A66186" w:rsidRPr="00A66186">
        <w:rPr>
          <w:rFonts w:ascii="Arial" w:hAnsi="Arial" w:cs="Arial"/>
          <w:bCs/>
          <w:sz w:val="22"/>
          <w:szCs w:val="22"/>
        </w:rPr>
        <w:t xml:space="preserve"> una Brexit senza accordo sebbene </w:t>
      </w:r>
      <w:r w:rsidR="001D2CF5">
        <w:rPr>
          <w:rFonts w:ascii="Arial" w:hAnsi="Arial" w:cs="Arial"/>
          <w:bCs/>
          <w:sz w:val="22"/>
          <w:szCs w:val="22"/>
        </w:rPr>
        <w:t>si sono già espressi</w:t>
      </w:r>
      <w:r w:rsidR="00A66186" w:rsidRPr="00A66186">
        <w:rPr>
          <w:rFonts w:ascii="Arial" w:hAnsi="Arial" w:cs="Arial"/>
          <w:bCs/>
          <w:sz w:val="22"/>
          <w:szCs w:val="22"/>
        </w:rPr>
        <w:t xml:space="preserve"> </w:t>
      </w:r>
      <w:r w:rsidR="00FB04E4">
        <w:rPr>
          <w:rFonts w:ascii="Arial" w:hAnsi="Arial" w:cs="Arial"/>
          <w:bCs/>
          <w:sz w:val="22"/>
          <w:szCs w:val="22"/>
        </w:rPr>
        <w:t xml:space="preserve">al riguardo votando </w:t>
      </w:r>
      <w:r w:rsidR="00A66186" w:rsidRPr="00A66186">
        <w:rPr>
          <w:rFonts w:ascii="Arial" w:hAnsi="Arial" w:cs="Arial"/>
          <w:bCs/>
          <w:sz w:val="22"/>
          <w:szCs w:val="22"/>
        </w:rPr>
        <w:t>contro questa opzione.</w:t>
      </w:r>
    </w:p>
    <w:p w14:paraId="29F454B4" w14:textId="56CB2268" w:rsidR="00A66186" w:rsidRPr="008C1F1C" w:rsidRDefault="00A66186" w:rsidP="008C1F1C">
      <w:pPr>
        <w:pStyle w:val="HTMLPreformatted"/>
        <w:numPr>
          <w:ilvl w:val="0"/>
          <w:numId w:val="14"/>
        </w:numPr>
        <w:shd w:val="clear" w:color="auto" w:fill="FFFFFF"/>
        <w:spacing w:after="120"/>
        <w:ind w:left="284" w:hanging="284"/>
        <w:jc w:val="both"/>
        <w:rPr>
          <w:rFonts w:ascii="Arial" w:hAnsi="Arial" w:cs="Arial"/>
          <w:bCs/>
          <w:sz w:val="22"/>
          <w:szCs w:val="22"/>
        </w:rPr>
      </w:pPr>
      <w:r w:rsidRPr="001D2CF5">
        <w:rPr>
          <w:rFonts w:ascii="Arial" w:hAnsi="Arial" w:cs="Arial"/>
          <w:b/>
          <w:bCs/>
          <w:sz w:val="22"/>
          <w:szCs w:val="22"/>
        </w:rPr>
        <w:t xml:space="preserve">Uscita secondo il </w:t>
      </w:r>
      <w:r w:rsidR="0081443A" w:rsidRPr="001D2CF5">
        <w:rPr>
          <w:rFonts w:ascii="Arial" w:hAnsi="Arial" w:cs="Arial"/>
          <w:b/>
          <w:bCs/>
          <w:sz w:val="22"/>
          <w:szCs w:val="22"/>
        </w:rPr>
        <w:t xml:space="preserve">Brexit Withdrawal </w:t>
      </w:r>
      <w:r w:rsidR="001D2CF5">
        <w:rPr>
          <w:rFonts w:ascii="Arial" w:hAnsi="Arial" w:cs="Arial"/>
          <w:b/>
          <w:bCs/>
          <w:sz w:val="22"/>
          <w:szCs w:val="22"/>
        </w:rPr>
        <w:t>D</w:t>
      </w:r>
      <w:r w:rsidR="0081443A" w:rsidRPr="001D2CF5">
        <w:rPr>
          <w:rFonts w:ascii="Arial" w:hAnsi="Arial" w:cs="Arial"/>
          <w:b/>
          <w:bCs/>
          <w:sz w:val="22"/>
          <w:szCs w:val="22"/>
        </w:rPr>
        <w:t>eal</w:t>
      </w:r>
      <w:r w:rsidR="0081443A" w:rsidRPr="001D2CF5">
        <w:rPr>
          <w:rFonts w:ascii="Arial" w:hAnsi="Arial" w:cs="Arial"/>
          <w:bCs/>
          <w:sz w:val="22"/>
          <w:szCs w:val="22"/>
        </w:rPr>
        <w:t xml:space="preserve"> </w:t>
      </w:r>
      <w:r w:rsidR="001D2CF5">
        <w:rPr>
          <w:rFonts w:ascii="Arial" w:hAnsi="Arial" w:cs="Arial"/>
          <w:bCs/>
          <w:sz w:val="22"/>
          <w:szCs w:val="22"/>
        </w:rPr>
        <w:t>–</w:t>
      </w:r>
      <w:r w:rsidR="0081443A" w:rsidRPr="001D2CF5">
        <w:rPr>
          <w:rFonts w:ascii="Arial" w:hAnsi="Arial" w:cs="Arial"/>
          <w:bCs/>
          <w:sz w:val="22"/>
          <w:szCs w:val="22"/>
        </w:rPr>
        <w:t xml:space="preserve"> </w:t>
      </w:r>
      <w:r w:rsidR="001D2CF5">
        <w:rPr>
          <w:rFonts w:ascii="Arial" w:hAnsi="Arial" w:cs="Arial"/>
          <w:bCs/>
          <w:sz w:val="22"/>
          <w:szCs w:val="22"/>
        </w:rPr>
        <w:t xml:space="preserve">sebbene l’accordo raggiunto tra </w:t>
      </w:r>
      <w:r w:rsidR="002C6A4F">
        <w:rPr>
          <w:rFonts w:ascii="Arial" w:hAnsi="Arial" w:cs="Arial"/>
          <w:bCs/>
          <w:sz w:val="22"/>
          <w:szCs w:val="22"/>
        </w:rPr>
        <w:t>il Premier britannico Theresa</w:t>
      </w:r>
      <w:r w:rsidR="001D2CF5">
        <w:rPr>
          <w:rFonts w:ascii="Arial" w:hAnsi="Arial" w:cs="Arial"/>
          <w:bCs/>
          <w:sz w:val="22"/>
          <w:szCs w:val="22"/>
        </w:rPr>
        <w:t xml:space="preserve"> May e l’Ue sia stato ripetutamente rigettato, la sua approvazione rimane </w:t>
      </w:r>
      <w:r w:rsidR="00AD6544">
        <w:rPr>
          <w:rFonts w:ascii="Arial" w:hAnsi="Arial" w:cs="Arial"/>
          <w:bCs/>
          <w:sz w:val="22"/>
          <w:szCs w:val="22"/>
        </w:rPr>
        <w:t xml:space="preserve">comunque </w:t>
      </w:r>
      <w:r w:rsidR="001D2CF5">
        <w:rPr>
          <w:rFonts w:ascii="Arial" w:hAnsi="Arial" w:cs="Arial"/>
          <w:bCs/>
          <w:sz w:val="22"/>
          <w:szCs w:val="22"/>
        </w:rPr>
        <w:t xml:space="preserve">un’opzione. </w:t>
      </w:r>
      <w:r w:rsidR="00AD6544">
        <w:rPr>
          <w:rFonts w:ascii="Arial" w:hAnsi="Arial" w:cs="Arial"/>
          <w:bCs/>
          <w:sz w:val="22"/>
          <w:szCs w:val="22"/>
        </w:rPr>
        <w:t>S</w:t>
      </w:r>
      <w:r w:rsidR="0081443A" w:rsidRPr="0081443A">
        <w:rPr>
          <w:rFonts w:ascii="Arial" w:hAnsi="Arial" w:cs="Arial"/>
          <w:bCs/>
          <w:sz w:val="22"/>
          <w:szCs w:val="22"/>
        </w:rPr>
        <w:t>e i negoziati con l'UE incontra</w:t>
      </w:r>
      <w:r w:rsidR="00AD6544">
        <w:rPr>
          <w:rFonts w:ascii="Arial" w:hAnsi="Arial" w:cs="Arial"/>
          <w:bCs/>
          <w:sz w:val="22"/>
          <w:szCs w:val="22"/>
        </w:rPr>
        <w:t>sser</w:t>
      </w:r>
      <w:r w:rsidR="0081443A" w:rsidRPr="0081443A">
        <w:rPr>
          <w:rFonts w:ascii="Arial" w:hAnsi="Arial" w:cs="Arial"/>
          <w:bCs/>
          <w:sz w:val="22"/>
          <w:szCs w:val="22"/>
        </w:rPr>
        <w:t>o difficoltà, le due parti potrebbero decidere di tornare all'unico accordo che è stato pienamente elaborato.</w:t>
      </w:r>
    </w:p>
    <w:p w14:paraId="57846507" w14:textId="479EE14E" w:rsidR="0081443A" w:rsidRPr="008C1F1C" w:rsidRDefault="0081443A" w:rsidP="008C1F1C">
      <w:pPr>
        <w:pStyle w:val="HTMLPreformatted"/>
        <w:numPr>
          <w:ilvl w:val="0"/>
          <w:numId w:val="14"/>
        </w:numPr>
        <w:shd w:val="clear" w:color="auto" w:fill="FFFFFF"/>
        <w:spacing w:after="120"/>
        <w:ind w:left="284" w:hanging="284"/>
        <w:jc w:val="both"/>
        <w:rPr>
          <w:rFonts w:ascii="Arial" w:hAnsi="Arial" w:cs="Arial"/>
          <w:bCs/>
          <w:sz w:val="22"/>
          <w:szCs w:val="22"/>
        </w:rPr>
      </w:pPr>
      <w:r w:rsidRPr="00AD6544">
        <w:rPr>
          <w:rFonts w:ascii="Arial" w:hAnsi="Arial" w:cs="Arial"/>
          <w:b/>
          <w:bCs/>
          <w:sz w:val="22"/>
          <w:szCs w:val="22"/>
        </w:rPr>
        <w:t>Rinegoziazione di un nuovo accordo</w:t>
      </w:r>
      <w:r w:rsidRPr="001D2CF5">
        <w:rPr>
          <w:rFonts w:ascii="Arial" w:hAnsi="Arial" w:cs="Arial"/>
          <w:bCs/>
          <w:sz w:val="22"/>
          <w:szCs w:val="22"/>
        </w:rPr>
        <w:t xml:space="preserve"> - </w:t>
      </w:r>
      <w:r w:rsidR="00AD6544">
        <w:rPr>
          <w:rFonts w:ascii="Arial" w:hAnsi="Arial" w:cs="Arial"/>
          <w:bCs/>
          <w:sz w:val="22"/>
          <w:szCs w:val="22"/>
        </w:rPr>
        <w:t>i</w:t>
      </w:r>
      <w:r w:rsidRPr="001D2CF5">
        <w:rPr>
          <w:rFonts w:ascii="Arial" w:hAnsi="Arial" w:cs="Arial"/>
          <w:bCs/>
          <w:sz w:val="22"/>
          <w:szCs w:val="22"/>
        </w:rPr>
        <w:t xml:space="preserve">l governo </w:t>
      </w:r>
      <w:r w:rsidR="002C6A4F">
        <w:rPr>
          <w:rFonts w:ascii="Arial" w:hAnsi="Arial" w:cs="Arial"/>
          <w:bCs/>
          <w:sz w:val="22"/>
          <w:szCs w:val="22"/>
        </w:rPr>
        <w:t xml:space="preserve">britannico </w:t>
      </w:r>
      <w:r w:rsidRPr="001D2CF5">
        <w:rPr>
          <w:rFonts w:ascii="Arial" w:hAnsi="Arial" w:cs="Arial"/>
          <w:bCs/>
          <w:sz w:val="22"/>
          <w:szCs w:val="22"/>
        </w:rPr>
        <w:t>potrebbe scegliere di negoziare un accordo sulla Brexit completamente nuovo</w:t>
      </w:r>
      <w:r w:rsidR="00AD6544">
        <w:rPr>
          <w:rFonts w:ascii="Arial" w:hAnsi="Arial" w:cs="Arial"/>
          <w:bCs/>
          <w:sz w:val="22"/>
          <w:szCs w:val="22"/>
        </w:rPr>
        <w:t xml:space="preserve"> ma s</w:t>
      </w:r>
      <w:r w:rsidRPr="0081443A">
        <w:rPr>
          <w:rFonts w:ascii="Arial" w:hAnsi="Arial" w:cs="Arial"/>
          <w:bCs/>
          <w:sz w:val="22"/>
          <w:szCs w:val="22"/>
        </w:rPr>
        <w:t>e l'UE si rifiuta</w:t>
      </w:r>
      <w:r w:rsidR="00AD6544">
        <w:rPr>
          <w:rFonts w:ascii="Arial" w:hAnsi="Arial" w:cs="Arial"/>
          <w:bCs/>
          <w:sz w:val="22"/>
          <w:szCs w:val="22"/>
        </w:rPr>
        <w:t>sse</w:t>
      </w:r>
      <w:r w:rsidRPr="0081443A">
        <w:rPr>
          <w:rFonts w:ascii="Arial" w:hAnsi="Arial" w:cs="Arial"/>
          <w:bCs/>
          <w:sz w:val="22"/>
          <w:szCs w:val="22"/>
        </w:rPr>
        <w:t xml:space="preserve"> di rientrare nei negoziati, il governo dovrebbe invece optare per una delle altre opzioni.</w:t>
      </w:r>
    </w:p>
    <w:p w14:paraId="5370D280" w14:textId="57CE7832" w:rsidR="0081443A" w:rsidRPr="008C1F1C" w:rsidRDefault="0081443A" w:rsidP="008C1F1C">
      <w:pPr>
        <w:pStyle w:val="HTMLPreformatted"/>
        <w:numPr>
          <w:ilvl w:val="0"/>
          <w:numId w:val="14"/>
        </w:numPr>
        <w:shd w:val="clear" w:color="auto" w:fill="FFFFFF"/>
        <w:spacing w:after="120"/>
        <w:ind w:left="284" w:hanging="284"/>
        <w:jc w:val="both"/>
        <w:rPr>
          <w:rFonts w:ascii="Arial" w:hAnsi="Arial" w:cs="Arial"/>
          <w:bCs/>
          <w:sz w:val="22"/>
          <w:szCs w:val="22"/>
        </w:rPr>
      </w:pPr>
      <w:r w:rsidRPr="00AD6544">
        <w:rPr>
          <w:rFonts w:ascii="Arial" w:hAnsi="Arial" w:cs="Arial"/>
          <w:b/>
          <w:bCs/>
          <w:sz w:val="22"/>
          <w:szCs w:val="22"/>
        </w:rPr>
        <w:t>Nuovo referendum</w:t>
      </w:r>
      <w:r w:rsidRPr="001D2CF5">
        <w:rPr>
          <w:rFonts w:ascii="Arial" w:hAnsi="Arial" w:cs="Arial"/>
          <w:bCs/>
          <w:sz w:val="22"/>
          <w:szCs w:val="22"/>
        </w:rPr>
        <w:t xml:space="preserve"> </w:t>
      </w:r>
      <w:r w:rsidR="00AD6544">
        <w:rPr>
          <w:rFonts w:ascii="Arial" w:hAnsi="Arial" w:cs="Arial"/>
          <w:bCs/>
          <w:sz w:val="22"/>
          <w:szCs w:val="22"/>
        </w:rPr>
        <w:t>–</w:t>
      </w:r>
      <w:r w:rsidRPr="001D2CF5">
        <w:rPr>
          <w:rFonts w:ascii="Arial" w:hAnsi="Arial" w:cs="Arial"/>
          <w:bCs/>
          <w:sz w:val="22"/>
          <w:szCs w:val="22"/>
        </w:rPr>
        <w:t xml:space="preserve"> </w:t>
      </w:r>
      <w:r w:rsidR="00AD6544">
        <w:rPr>
          <w:rFonts w:ascii="Arial" w:hAnsi="Arial" w:cs="Arial"/>
          <w:bCs/>
          <w:sz w:val="22"/>
          <w:szCs w:val="22"/>
        </w:rPr>
        <w:t>un nuovo referendum p</w:t>
      </w:r>
      <w:r w:rsidRPr="0081443A">
        <w:rPr>
          <w:rFonts w:ascii="Arial" w:hAnsi="Arial" w:cs="Arial"/>
          <w:bCs/>
          <w:sz w:val="22"/>
          <w:szCs w:val="22"/>
        </w:rPr>
        <w:t xml:space="preserve">otrebbe avere lo stesso </w:t>
      </w:r>
      <w:r w:rsidRPr="0081443A">
        <w:rPr>
          <w:rFonts w:ascii="Arial" w:hAnsi="Arial" w:cs="Arial"/>
          <w:bCs/>
          <w:i/>
          <w:sz w:val="22"/>
          <w:szCs w:val="22"/>
        </w:rPr>
        <w:t>status</w:t>
      </w:r>
      <w:r w:rsidRPr="0081443A">
        <w:rPr>
          <w:rFonts w:ascii="Arial" w:hAnsi="Arial" w:cs="Arial"/>
          <w:bCs/>
          <w:sz w:val="22"/>
          <w:szCs w:val="22"/>
        </w:rPr>
        <w:t xml:space="preserve"> del referendum del 2016</w:t>
      </w:r>
      <w:r w:rsidR="00AD6544">
        <w:rPr>
          <w:rFonts w:ascii="Arial" w:hAnsi="Arial" w:cs="Arial"/>
          <w:bCs/>
          <w:sz w:val="22"/>
          <w:szCs w:val="22"/>
        </w:rPr>
        <w:t xml:space="preserve"> (</w:t>
      </w:r>
      <w:r w:rsidRPr="0081443A">
        <w:rPr>
          <w:rFonts w:ascii="Arial" w:hAnsi="Arial" w:cs="Arial"/>
          <w:bCs/>
          <w:sz w:val="22"/>
          <w:szCs w:val="22"/>
        </w:rPr>
        <w:t>legalmente non vincolante e consultivo</w:t>
      </w:r>
      <w:r w:rsidR="00AD6544">
        <w:rPr>
          <w:rFonts w:ascii="Arial" w:hAnsi="Arial" w:cs="Arial"/>
          <w:bCs/>
          <w:sz w:val="22"/>
          <w:szCs w:val="22"/>
        </w:rPr>
        <w:t>)</w:t>
      </w:r>
      <w:r w:rsidRPr="0081443A">
        <w:rPr>
          <w:rFonts w:ascii="Arial" w:hAnsi="Arial" w:cs="Arial"/>
          <w:bCs/>
          <w:sz w:val="22"/>
          <w:szCs w:val="22"/>
        </w:rPr>
        <w:t>. Ma alcuni parlamentari vogliono tenere un referendum vincolante in cui il risultato diventi automaticamente effettivo.</w:t>
      </w:r>
      <w:r w:rsidRPr="001D2CF5">
        <w:rPr>
          <w:rFonts w:ascii="Arial" w:hAnsi="Arial" w:cs="Arial"/>
          <w:bCs/>
          <w:sz w:val="22"/>
          <w:szCs w:val="22"/>
        </w:rPr>
        <w:t xml:space="preserve"> </w:t>
      </w:r>
      <w:r w:rsidRPr="0081443A">
        <w:rPr>
          <w:rFonts w:ascii="Arial" w:hAnsi="Arial" w:cs="Arial"/>
          <w:bCs/>
          <w:sz w:val="22"/>
          <w:szCs w:val="22"/>
        </w:rPr>
        <w:t xml:space="preserve">Un'opzione discussa </w:t>
      </w:r>
      <w:r w:rsidR="00AD6544">
        <w:rPr>
          <w:rFonts w:ascii="Arial" w:hAnsi="Arial" w:cs="Arial"/>
          <w:bCs/>
          <w:sz w:val="22"/>
          <w:szCs w:val="22"/>
        </w:rPr>
        <w:t>è quella di</w:t>
      </w:r>
      <w:r w:rsidRPr="0081443A">
        <w:rPr>
          <w:rFonts w:ascii="Arial" w:hAnsi="Arial" w:cs="Arial"/>
          <w:bCs/>
          <w:sz w:val="22"/>
          <w:szCs w:val="22"/>
        </w:rPr>
        <w:t xml:space="preserve"> un "voto di conferma" su </w:t>
      </w:r>
      <w:r w:rsidR="00AD6544">
        <w:rPr>
          <w:rFonts w:ascii="Arial" w:hAnsi="Arial" w:cs="Arial"/>
          <w:bCs/>
          <w:sz w:val="22"/>
          <w:szCs w:val="22"/>
        </w:rPr>
        <w:t>un</w:t>
      </w:r>
      <w:r w:rsidRPr="0081443A">
        <w:rPr>
          <w:rFonts w:ascii="Arial" w:hAnsi="Arial" w:cs="Arial"/>
          <w:bCs/>
          <w:sz w:val="22"/>
          <w:szCs w:val="22"/>
        </w:rPr>
        <w:t xml:space="preserve"> </w:t>
      </w:r>
      <w:r w:rsidR="00FB04E4">
        <w:rPr>
          <w:rFonts w:ascii="Arial" w:hAnsi="Arial" w:cs="Arial"/>
          <w:bCs/>
          <w:sz w:val="22"/>
          <w:szCs w:val="22"/>
        </w:rPr>
        <w:t xml:space="preserve">testo di </w:t>
      </w:r>
      <w:r w:rsidRPr="0081443A">
        <w:rPr>
          <w:rFonts w:ascii="Arial" w:hAnsi="Arial" w:cs="Arial"/>
          <w:bCs/>
          <w:sz w:val="22"/>
          <w:szCs w:val="22"/>
        </w:rPr>
        <w:t xml:space="preserve">accordo </w:t>
      </w:r>
      <w:r w:rsidR="00FB04E4">
        <w:rPr>
          <w:rFonts w:ascii="Arial" w:hAnsi="Arial" w:cs="Arial"/>
          <w:bCs/>
          <w:sz w:val="22"/>
          <w:szCs w:val="22"/>
        </w:rPr>
        <w:t xml:space="preserve">di recesso </w:t>
      </w:r>
      <w:r w:rsidR="00FB04E4" w:rsidRPr="0081443A">
        <w:rPr>
          <w:rFonts w:ascii="Arial" w:hAnsi="Arial" w:cs="Arial"/>
          <w:bCs/>
          <w:sz w:val="22"/>
          <w:szCs w:val="22"/>
        </w:rPr>
        <w:t>dove</w:t>
      </w:r>
      <w:r w:rsidRPr="0081443A">
        <w:rPr>
          <w:rFonts w:ascii="Arial" w:hAnsi="Arial" w:cs="Arial"/>
          <w:bCs/>
          <w:sz w:val="22"/>
          <w:szCs w:val="22"/>
        </w:rPr>
        <w:t xml:space="preserve"> al</w:t>
      </w:r>
      <w:r w:rsidR="00AD6544">
        <w:rPr>
          <w:rFonts w:ascii="Arial" w:hAnsi="Arial" w:cs="Arial"/>
          <w:bCs/>
          <w:sz w:val="22"/>
          <w:szCs w:val="22"/>
        </w:rPr>
        <w:t>l’elettorato</w:t>
      </w:r>
      <w:r w:rsidRPr="0081443A">
        <w:rPr>
          <w:rFonts w:ascii="Arial" w:hAnsi="Arial" w:cs="Arial"/>
          <w:bCs/>
          <w:sz w:val="22"/>
          <w:szCs w:val="22"/>
        </w:rPr>
        <w:t xml:space="preserve"> sarebbe </w:t>
      </w:r>
      <w:r w:rsidR="00AD6544">
        <w:rPr>
          <w:rFonts w:ascii="Arial" w:hAnsi="Arial" w:cs="Arial"/>
          <w:bCs/>
          <w:sz w:val="22"/>
          <w:szCs w:val="22"/>
        </w:rPr>
        <w:t xml:space="preserve">chiesto di decidere </w:t>
      </w:r>
      <w:r w:rsidRPr="0081443A">
        <w:rPr>
          <w:rFonts w:ascii="Arial" w:hAnsi="Arial" w:cs="Arial"/>
          <w:bCs/>
          <w:sz w:val="22"/>
          <w:szCs w:val="22"/>
        </w:rPr>
        <w:t>tra l'</w:t>
      </w:r>
      <w:r w:rsidR="00AD6544">
        <w:rPr>
          <w:rFonts w:ascii="Arial" w:hAnsi="Arial" w:cs="Arial"/>
          <w:bCs/>
          <w:sz w:val="22"/>
          <w:szCs w:val="22"/>
        </w:rPr>
        <w:t xml:space="preserve">uscita con </w:t>
      </w:r>
      <w:r w:rsidRPr="0081443A">
        <w:rPr>
          <w:rFonts w:ascii="Arial" w:hAnsi="Arial" w:cs="Arial"/>
          <w:bCs/>
          <w:sz w:val="22"/>
          <w:szCs w:val="22"/>
        </w:rPr>
        <w:t xml:space="preserve">accordo </w:t>
      </w:r>
      <w:r w:rsidR="00AD6544">
        <w:rPr>
          <w:rFonts w:ascii="Arial" w:hAnsi="Arial" w:cs="Arial"/>
          <w:bCs/>
          <w:sz w:val="22"/>
          <w:szCs w:val="22"/>
        </w:rPr>
        <w:t xml:space="preserve">in questione </w:t>
      </w:r>
      <w:r w:rsidRPr="0081443A">
        <w:rPr>
          <w:rFonts w:ascii="Arial" w:hAnsi="Arial" w:cs="Arial"/>
          <w:bCs/>
          <w:sz w:val="22"/>
          <w:szCs w:val="22"/>
        </w:rPr>
        <w:t xml:space="preserve">o </w:t>
      </w:r>
      <w:r w:rsidR="00AD6544">
        <w:rPr>
          <w:rFonts w:ascii="Arial" w:hAnsi="Arial" w:cs="Arial"/>
          <w:bCs/>
          <w:sz w:val="22"/>
          <w:szCs w:val="22"/>
        </w:rPr>
        <w:t xml:space="preserve">la permanenza in </w:t>
      </w:r>
      <w:r w:rsidRPr="0081443A">
        <w:rPr>
          <w:rFonts w:ascii="Arial" w:hAnsi="Arial" w:cs="Arial"/>
          <w:bCs/>
          <w:sz w:val="22"/>
          <w:szCs w:val="22"/>
        </w:rPr>
        <w:t>UE.</w:t>
      </w:r>
    </w:p>
    <w:p w14:paraId="40100F34" w14:textId="3C4D00B3" w:rsidR="00AD6544" w:rsidRPr="008C1F1C" w:rsidRDefault="0081443A" w:rsidP="008C1F1C">
      <w:pPr>
        <w:pStyle w:val="HTMLPreformatted"/>
        <w:numPr>
          <w:ilvl w:val="0"/>
          <w:numId w:val="14"/>
        </w:numPr>
        <w:shd w:val="clear" w:color="auto" w:fill="FFFFFF"/>
        <w:spacing w:after="120"/>
        <w:ind w:left="284" w:hanging="284"/>
        <w:jc w:val="both"/>
        <w:rPr>
          <w:rFonts w:ascii="Arial" w:hAnsi="Arial" w:cs="Arial"/>
          <w:bCs/>
          <w:sz w:val="22"/>
          <w:szCs w:val="22"/>
        </w:rPr>
      </w:pPr>
      <w:r w:rsidRPr="00AD6544">
        <w:rPr>
          <w:rFonts w:ascii="Arial" w:hAnsi="Arial" w:cs="Arial"/>
          <w:b/>
          <w:bCs/>
          <w:sz w:val="22"/>
          <w:szCs w:val="22"/>
        </w:rPr>
        <w:t>Nuove elezioni</w:t>
      </w:r>
      <w:r w:rsidRPr="0081443A">
        <w:rPr>
          <w:rFonts w:ascii="Arial" w:hAnsi="Arial" w:cs="Arial"/>
          <w:b/>
          <w:bCs/>
          <w:sz w:val="22"/>
          <w:szCs w:val="22"/>
        </w:rPr>
        <w:t xml:space="preserve"> general</w:t>
      </w:r>
      <w:r w:rsidRPr="00AD6544">
        <w:rPr>
          <w:rFonts w:ascii="Arial" w:hAnsi="Arial" w:cs="Arial"/>
          <w:b/>
          <w:bCs/>
          <w:sz w:val="22"/>
          <w:szCs w:val="22"/>
        </w:rPr>
        <w:t>i</w:t>
      </w:r>
      <w:r w:rsidRPr="00AD6544">
        <w:rPr>
          <w:rFonts w:ascii="Arial" w:hAnsi="Arial" w:cs="Arial"/>
          <w:bCs/>
          <w:sz w:val="22"/>
          <w:szCs w:val="22"/>
        </w:rPr>
        <w:t xml:space="preserve"> - </w:t>
      </w:r>
      <w:r w:rsidRPr="0081443A">
        <w:rPr>
          <w:rFonts w:ascii="Arial" w:hAnsi="Arial" w:cs="Arial"/>
          <w:bCs/>
          <w:sz w:val="22"/>
          <w:szCs w:val="22"/>
        </w:rPr>
        <w:t xml:space="preserve">Theresa May potrebbe decidere che il modo migliore per uscire da una situazione di stallo sarebbe </w:t>
      </w:r>
      <w:r w:rsidR="00AD6544" w:rsidRPr="00AD6544">
        <w:rPr>
          <w:rFonts w:ascii="Arial" w:hAnsi="Arial" w:cs="Arial"/>
          <w:bCs/>
          <w:sz w:val="22"/>
          <w:szCs w:val="22"/>
        </w:rPr>
        <w:t>indire</w:t>
      </w:r>
      <w:r w:rsidRPr="0081443A">
        <w:rPr>
          <w:rFonts w:ascii="Arial" w:hAnsi="Arial" w:cs="Arial"/>
          <w:bCs/>
          <w:sz w:val="22"/>
          <w:szCs w:val="22"/>
        </w:rPr>
        <w:t xml:space="preserve"> elezioni anticipate. </w:t>
      </w:r>
    </w:p>
    <w:p w14:paraId="6A02CE8D" w14:textId="5D394243" w:rsidR="0081443A" w:rsidRPr="008C1F1C" w:rsidRDefault="0081443A" w:rsidP="008C1F1C">
      <w:pPr>
        <w:pStyle w:val="HTMLPreformatted"/>
        <w:numPr>
          <w:ilvl w:val="0"/>
          <w:numId w:val="14"/>
        </w:numPr>
        <w:shd w:val="clear" w:color="auto" w:fill="FFFFFF"/>
        <w:spacing w:after="120"/>
        <w:ind w:left="284" w:hanging="284"/>
        <w:jc w:val="both"/>
        <w:rPr>
          <w:rFonts w:ascii="Arial" w:hAnsi="Arial" w:cs="Arial"/>
          <w:bCs/>
          <w:sz w:val="22"/>
          <w:szCs w:val="22"/>
        </w:rPr>
      </w:pPr>
      <w:r w:rsidRPr="0081443A">
        <w:rPr>
          <w:rFonts w:ascii="Arial" w:hAnsi="Arial" w:cs="Arial"/>
          <w:b/>
          <w:bCs/>
          <w:sz w:val="22"/>
          <w:szCs w:val="22"/>
        </w:rPr>
        <w:t>Un altro voto di sfiducia</w:t>
      </w:r>
      <w:r w:rsidR="001D2CF5" w:rsidRPr="001D2CF5">
        <w:rPr>
          <w:rFonts w:ascii="Arial" w:hAnsi="Arial" w:cs="Arial"/>
          <w:bCs/>
          <w:sz w:val="22"/>
          <w:szCs w:val="22"/>
        </w:rPr>
        <w:t xml:space="preserve"> - </w:t>
      </w:r>
      <w:r w:rsidRPr="0081443A">
        <w:rPr>
          <w:rFonts w:ascii="Arial" w:hAnsi="Arial" w:cs="Arial"/>
          <w:bCs/>
          <w:sz w:val="22"/>
          <w:szCs w:val="22"/>
        </w:rPr>
        <w:t xml:space="preserve">Il governo è sopravvissuto a un voto di sfiducia il 16 gennaio </w:t>
      </w:r>
      <w:r w:rsidR="001D2CF5" w:rsidRPr="001D2CF5">
        <w:rPr>
          <w:rFonts w:ascii="Arial" w:hAnsi="Arial" w:cs="Arial"/>
          <w:bCs/>
          <w:sz w:val="22"/>
          <w:szCs w:val="22"/>
        </w:rPr>
        <w:t>(</w:t>
      </w:r>
      <w:r w:rsidRPr="0081443A">
        <w:rPr>
          <w:rFonts w:ascii="Arial" w:hAnsi="Arial" w:cs="Arial"/>
          <w:bCs/>
          <w:sz w:val="22"/>
          <w:szCs w:val="22"/>
        </w:rPr>
        <w:t xml:space="preserve">325 voti </w:t>
      </w:r>
      <w:r w:rsidR="001D2CF5" w:rsidRPr="001D2CF5">
        <w:rPr>
          <w:rFonts w:ascii="Arial" w:hAnsi="Arial" w:cs="Arial"/>
          <w:bCs/>
          <w:sz w:val="22"/>
          <w:szCs w:val="22"/>
        </w:rPr>
        <w:t>favorevoli e</w:t>
      </w:r>
      <w:r w:rsidRPr="0081443A">
        <w:rPr>
          <w:rFonts w:ascii="Arial" w:hAnsi="Arial" w:cs="Arial"/>
          <w:bCs/>
          <w:sz w:val="22"/>
          <w:szCs w:val="22"/>
        </w:rPr>
        <w:t xml:space="preserve"> 306</w:t>
      </w:r>
      <w:r w:rsidR="001D2CF5" w:rsidRPr="001D2CF5">
        <w:rPr>
          <w:rFonts w:ascii="Arial" w:hAnsi="Arial" w:cs="Arial"/>
          <w:bCs/>
          <w:sz w:val="22"/>
          <w:szCs w:val="22"/>
        </w:rPr>
        <w:t xml:space="preserve"> contrari)</w:t>
      </w:r>
      <w:r w:rsidRPr="0081443A">
        <w:rPr>
          <w:rFonts w:ascii="Arial" w:hAnsi="Arial" w:cs="Arial"/>
          <w:bCs/>
          <w:sz w:val="22"/>
          <w:szCs w:val="22"/>
        </w:rPr>
        <w:t xml:space="preserve">. Il </w:t>
      </w:r>
      <w:r w:rsidR="001D2CF5" w:rsidRPr="001D2CF5">
        <w:rPr>
          <w:rFonts w:ascii="Arial" w:hAnsi="Arial" w:cs="Arial"/>
          <w:bCs/>
          <w:sz w:val="22"/>
          <w:szCs w:val="22"/>
        </w:rPr>
        <w:t xml:space="preserve">Labour </w:t>
      </w:r>
      <w:r w:rsidR="00FB04E4" w:rsidRPr="001D2CF5">
        <w:rPr>
          <w:rFonts w:ascii="Arial" w:hAnsi="Arial" w:cs="Arial"/>
          <w:bCs/>
          <w:sz w:val="22"/>
          <w:szCs w:val="22"/>
        </w:rPr>
        <w:t>Party,</w:t>
      </w:r>
      <w:r w:rsidR="00FB04E4">
        <w:rPr>
          <w:rFonts w:ascii="Arial" w:hAnsi="Arial" w:cs="Arial"/>
          <w:bCs/>
          <w:sz w:val="22"/>
          <w:szCs w:val="22"/>
        </w:rPr>
        <w:t xml:space="preserve"> però, </w:t>
      </w:r>
      <w:r w:rsidRPr="0081443A">
        <w:rPr>
          <w:rFonts w:ascii="Arial" w:hAnsi="Arial" w:cs="Arial"/>
          <w:bCs/>
          <w:sz w:val="22"/>
          <w:szCs w:val="22"/>
        </w:rPr>
        <w:t>potrebbe presentare un'altra mozione di</w:t>
      </w:r>
      <w:r w:rsidR="008C1F1C">
        <w:rPr>
          <w:rFonts w:ascii="Arial" w:hAnsi="Arial" w:cs="Arial"/>
          <w:bCs/>
          <w:sz w:val="22"/>
          <w:szCs w:val="22"/>
        </w:rPr>
        <w:t xml:space="preserve"> </w:t>
      </w:r>
      <w:r w:rsidRPr="0081443A">
        <w:rPr>
          <w:rFonts w:ascii="Arial" w:hAnsi="Arial" w:cs="Arial"/>
          <w:bCs/>
          <w:sz w:val="22"/>
          <w:szCs w:val="22"/>
        </w:rPr>
        <w:t>sfiducia in qualsiasi momento.</w:t>
      </w:r>
      <w:r w:rsidR="001D2CF5" w:rsidRPr="001D2CF5">
        <w:rPr>
          <w:rFonts w:ascii="Arial" w:hAnsi="Arial" w:cs="Arial"/>
          <w:bCs/>
          <w:sz w:val="22"/>
          <w:szCs w:val="22"/>
        </w:rPr>
        <w:t xml:space="preserve"> </w:t>
      </w:r>
    </w:p>
    <w:p w14:paraId="65D3DA91" w14:textId="4E1D190A" w:rsidR="0081443A" w:rsidRPr="0081443A" w:rsidRDefault="0081443A" w:rsidP="008C1F1C">
      <w:pPr>
        <w:pStyle w:val="HTMLPreformatted"/>
        <w:numPr>
          <w:ilvl w:val="0"/>
          <w:numId w:val="14"/>
        </w:numPr>
        <w:shd w:val="clear" w:color="auto" w:fill="FFFFFF"/>
        <w:spacing w:after="120"/>
        <w:ind w:left="284" w:hanging="284"/>
        <w:jc w:val="both"/>
        <w:rPr>
          <w:rFonts w:ascii="Arial" w:hAnsi="Arial" w:cs="Arial"/>
          <w:bCs/>
          <w:sz w:val="22"/>
          <w:szCs w:val="22"/>
        </w:rPr>
      </w:pPr>
      <w:r w:rsidRPr="0081443A">
        <w:rPr>
          <w:rFonts w:ascii="Arial" w:hAnsi="Arial" w:cs="Arial"/>
          <w:b/>
          <w:bCs/>
          <w:sz w:val="22"/>
          <w:szCs w:val="22"/>
        </w:rPr>
        <w:t>No Brexit</w:t>
      </w:r>
      <w:r w:rsidR="001D2CF5" w:rsidRPr="001D2CF5">
        <w:rPr>
          <w:rFonts w:ascii="Arial" w:hAnsi="Arial" w:cs="Arial"/>
          <w:bCs/>
          <w:sz w:val="22"/>
          <w:szCs w:val="22"/>
        </w:rPr>
        <w:t xml:space="preserve"> - </w:t>
      </w:r>
      <w:r w:rsidR="00AD6544">
        <w:rPr>
          <w:rFonts w:ascii="Arial" w:hAnsi="Arial" w:cs="Arial"/>
          <w:bCs/>
          <w:sz w:val="22"/>
          <w:szCs w:val="22"/>
        </w:rPr>
        <w:t>l</w:t>
      </w:r>
      <w:r w:rsidRPr="0081443A">
        <w:rPr>
          <w:rFonts w:ascii="Arial" w:hAnsi="Arial" w:cs="Arial"/>
          <w:bCs/>
          <w:sz w:val="22"/>
          <w:szCs w:val="22"/>
        </w:rPr>
        <w:t xml:space="preserve">a Corte di giustizia europea ha stabilito che sarebbe </w:t>
      </w:r>
      <w:r w:rsidR="00AD6544">
        <w:rPr>
          <w:rFonts w:ascii="Arial" w:hAnsi="Arial" w:cs="Arial"/>
          <w:bCs/>
          <w:sz w:val="22"/>
          <w:szCs w:val="22"/>
        </w:rPr>
        <w:t xml:space="preserve">legalmente </w:t>
      </w:r>
      <w:r w:rsidR="00FB04E4">
        <w:rPr>
          <w:rFonts w:ascii="Arial" w:hAnsi="Arial" w:cs="Arial"/>
          <w:bCs/>
          <w:sz w:val="22"/>
          <w:szCs w:val="22"/>
        </w:rPr>
        <w:t xml:space="preserve">possibile </w:t>
      </w:r>
      <w:r w:rsidR="00FB04E4" w:rsidRPr="0081443A">
        <w:rPr>
          <w:rFonts w:ascii="Arial" w:hAnsi="Arial" w:cs="Arial"/>
          <w:bCs/>
          <w:sz w:val="22"/>
          <w:szCs w:val="22"/>
        </w:rPr>
        <w:t>per</w:t>
      </w:r>
      <w:r w:rsidRPr="0081443A">
        <w:rPr>
          <w:rFonts w:ascii="Arial" w:hAnsi="Arial" w:cs="Arial"/>
          <w:bCs/>
          <w:sz w:val="22"/>
          <w:szCs w:val="22"/>
        </w:rPr>
        <w:t xml:space="preserve"> il Regno Unito revocare unilateralmente l'articolo 50 </w:t>
      </w:r>
      <w:r w:rsidR="00AD6544">
        <w:rPr>
          <w:rFonts w:ascii="Arial" w:hAnsi="Arial" w:cs="Arial"/>
          <w:bCs/>
          <w:sz w:val="22"/>
          <w:szCs w:val="22"/>
        </w:rPr>
        <w:t>e</w:t>
      </w:r>
      <w:r w:rsidRPr="0081443A">
        <w:rPr>
          <w:rFonts w:ascii="Arial" w:hAnsi="Arial" w:cs="Arial"/>
          <w:bCs/>
          <w:sz w:val="22"/>
          <w:szCs w:val="22"/>
        </w:rPr>
        <w:t xml:space="preserve"> annullare la Brexit (senza la necessità di un accordo da parte degli altri 27 paesi dell'UE).</w:t>
      </w:r>
      <w:r w:rsidR="001D2CF5" w:rsidRPr="001D2CF5">
        <w:rPr>
          <w:rFonts w:ascii="Arial" w:hAnsi="Arial" w:cs="Arial"/>
          <w:bCs/>
          <w:sz w:val="22"/>
          <w:szCs w:val="22"/>
        </w:rPr>
        <w:t xml:space="preserve"> </w:t>
      </w:r>
      <w:r w:rsidRPr="0081443A">
        <w:rPr>
          <w:rFonts w:ascii="Arial" w:hAnsi="Arial" w:cs="Arial"/>
          <w:bCs/>
          <w:sz w:val="22"/>
          <w:szCs w:val="22"/>
        </w:rPr>
        <w:t>Non è completamente chiaro quale sarebbe il processo. Ma un atto del Parlamento che chiede la revoca dell'articolo 50 sarebbe probabilmente sufficiente.</w:t>
      </w:r>
    </w:p>
    <w:p w14:paraId="29ADD5EE" w14:textId="77777777" w:rsidR="000D172B" w:rsidRPr="000D172B" w:rsidRDefault="000D172B" w:rsidP="000D17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rPr>
      </w:pPr>
    </w:p>
    <w:p w14:paraId="2DF0E724" w14:textId="60F22C70" w:rsidR="00917046" w:rsidRPr="00FB04E4" w:rsidRDefault="00122B38" w:rsidP="00FB04E4">
      <w:pPr>
        <w:pStyle w:val="ListParagraph"/>
        <w:numPr>
          <w:ilvl w:val="0"/>
          <w:numId w:val="15"/>
        </w:numPr>
        <w:tabs>
          <w:tab w:val="left" w:pos="2940"/>
        </w:tabs>
        <w:ind w:left="284" w:hanging="284"/>
        <w:jc w:val="both"/>
        <w:rPr>
          <w:rFonts w:ascii="Arial" w:hAnsi="Arial" w:cs="Arial"/>
          <w:b/>
          <w:i/>
          <w:sz w:val="20"/>
          <w:szCs w:val="20"/>
          <w:lang w:val="it-IT"/>
        </w:rPr>
      </w:pPr>
      <w:r w:rsidRPr="00FB04E4">
        <w:rPr>
          <w:rFonts w:ascii="Arial" w:hAnsi="Arial" w:cs="Arial"/>
          <w:b/>
          <w:i/>
          <w:sz w:val="20"/>
          <w:szCs w:val="20"/>
          <w:lang w:val="it-IT"/>
        </w:rPr>
        <w:t>Possibili scenari per le relazioni commerciali nel post-Brexit</w:t>
      </w:r>
    </w:p>
    <w:p w14:paraId="09F7B38D" w14:textId="775F5528" w:rsidR="002C6A4F" w:rsidRPr="00FB04E4" w:rsidRDefault="00483497" w:rsidP="008C1F1C">
      <w:pPr>
        <w:tabs>
          <w:tab w:val="left" w:pos="2940"/>
        </w:tabs>
        <w:spacing w:after="120"/>
        <w:jc w:val="both"/>
        <w:rPr>
          <w:rFonts w:ascii="Arial" w:hAnsi="Arial" w:cs="Arial"/>
          <w:sz w:val="22"/>
          <w:szCs w:val="22"/>
        </w:rPr>
      </w:pPr>
      <w:r w:rsidRPr="00FB04E4">
        <w:rPr>
          <w:rFonts w:ascii="Arial" w:hAnsi="Arial" w:cs="Arial"/>
          <w:sz w:val="22"/>
          <w:szCs w:val="22"/>
        </w:rPr>
        <w:t xml:space="preserve">All’indomani del voto sulla permanenza del Regno Unito nell’Unione europea, le due parti hanno concordato che le relazioni commerciali sarebbero state definite solo in un momento successivo alla conclusione di un accordo di recesso, che avrebbe dovuto definire alcuni aspetti prioritari sulle loro future relazioni. </w:t>
      </w:r>
      <w:r w:rsidR="00536544">
        <w:rPr>
          <w:rFonts w:ascii="Arial" w:hAnsi="Arial" w:cs="Arial"/>
          <w:sz w:val="22"/>
          <w:szCs w:val="22"/>
        </w:rPr>
        <w:t>In t</w:t>
      </w:r>
      <w:r w:rsidRPr="00FB04E4">
        <w:rPr>
          <w:rFonts w:ascii="Arial" w:hAnsi="Arial" w:cs="Arial"/>
          <w:sz w:val="22"/>
          <w:szCs w:val="22"/>
        </w:rPr>
        <w:t xml:space="preserve">ale accordo, che come </w:t>
      </w:r>
      <w:r w:rsidR="00B85371" w:rsidRPr="00FB04E4">
        <w:rPr>
          <w:rFonts w:ascii="Arial" w:hAnsi="Arial" w:cs="Arial"/>
          <w:sz w:val="22"/>
          <w:szCs w:val="22"/>
        </w:rPr>
        <w:t>detto sopra</w:t>
      </w:r>
      <w:r w:rsidR="00536544">
        <w:rPr>
          <w:rFonts w:ascii="Arial" w:hAnsi="Arial" w:cs="Arial"/>
          <w:sz w:val="22"/>
          <w:szCs w:val="22"/>
        </w:rPr>
        <w:t>,</w:t>
      </w:r>
      <w:r w:rsidR="00B85371" w:rsidRPr="00FB04E4">
        <w:rPr>
          <w:rFonts w:ascii="Arial" w:hAnsi="Arial" w:cs="Arial"/>
          <w:sz w:val="22"/>
          <w:szCs w:val="22"/>
        </w:rPr>
        <w:t xml:space="preserve"> </w:t>
      </w:r>
      <w:r w:rsidRPr="00FB04E4">
        <w:rPr>
          <w:rFonts w:ascii="Arial" w:hAnsi="Arial" w:cs="Arial"/>
          <w:sz w:val="22"/>
          <w:szCs w:val="22"/>
        </w:rPr>
        <w:t xml:space="preserve">è stato rifiutato per ben tre volte dal parlamento di Westminster, si era previsto che le relazioni commerciali sarebbero state discusse in un periodo di transizione di due anni, tra aprile 2019 e dicembre 2020. </w:t>
      </w:r>
    </w:p>
    <w:p w14:paraId="791038A5" w14:textId="07DEA960" w:rsidR="00335AC6" w:rsidRPr="00FB04E4" w:rsidRDefault="002C6A4F" w:rsidP="008C1F1C">
      <w:pPr>
        <w:tabs>
          <w:tab w:val="left" w:pos="2940"/>
        </w:tabs>
        <w:spacing w:after="120"/>
        <w:jc w:val="both"/>
        <w:rPr>
          <w:rFonts w:ascii="Arial" w:hAnsi="Arial" w:cs="Arial"/>
          <w:sz w:val="22"/>
          <w:szCs w:val="22"/>
        </w:rPr>
      </w:pPr>
      <w:r w:rsidRPr="00FB04E4">
        <w:rPr>
          <w:rFonts w:ascii="Arial" w:hAnsi="Arial" w:cs="Arial"/>
          <w:sz w:val="22"/>
          <w:szCs w:val="22"/>
        </w:rPr>
        <w:t xml:space="preserve">Tuttavia, </w:t>
      </w:r>
      <w:r w:rsidR="00483497" w:rsidRPr="00FB04E4">
        <w:rPr>
          <w:rFonts w:ascii="Arial" w:hAnsi="Arial" w:cs="Arial"/>
          <w:sz w:val="22"/>
          <w:szCs w:val="22"/>
        </w:rPr>
        <w:t xml:space="preserve">il frutto dei negoziati tra il Governo </w:t>
      </w:r>
      <w:r w:rsidR="00BC575B" w:rsidRPr="00FB04E4">
        <w:rPr>
          <w:rFonts w:ascii="Arial" w:hAnsi="Arial" w:cs="Arial"/>
          <w:sz w:val="22"/>
          <w:szCs w:val="22"/>
        </w:rPr>
        <w:t>M</w:t>
      </w:r>
      <w:r w:rsidR="00483497" w:rsidRPr="00FB04E4">
        <w:rPr>
          <w:rFonts w:ascii="Arial" w:hAnsi="Arial" w:cs="Arial"/>
          <w:sz w:val="22"/>
          <w:szCs w:val="22"/>
        </w:rPr>
        <w:t xml:space="preserve">ay e l’Ue a 27 </w:t>
      </w:r>
      <w:r w:rsidR="00BC575B" w:rsidRPr="00FB04E4">
        <w:rPr>
          <w:rFonts w:ascii="Arial" w:hAnsi="Arial" w:cs="Arial"/>
          <w:sz w:val="22"/>
          <w:szCs w:val="22"/>
        </w:rPr>
        <w:t>è</w:t>
      </w:r>
      <w:r w:rsidR="00483497" w:rsidRPr="00FB04E4">
        <w:rPr>
          <w:rFonts w:ascii="Arial" w:hAnsi="Arial" w:cs="Arial"/>
          <w:sz w:val="22"/>
          <w:szCs w:val="22"/>
        </w:rPr>
        <w:t xml:space="preserve"> stato rifiutato dal Parlamento britannico.</w:t>
      </w:r>
      <w:r w:rsidRPr="00FB04E4">
        <w:rPr>
          <w:rFonts w:ascii="Arial" w:hAnsi="Arial" w:cs="Arial"/>
          <w:sz w:val="22"/>
          <w:szCs w:val="22"/>
        </w:rPr>
        <w:t xml:space="preserve"> </w:t>
      </w:r>
      <w:r w:rsidR="00335AC6" w:rsidRPr="00FB04E4">
        <w:rPr>
          <w:rFonts w:ascii="Arial" w:hAnsi="Arial" w:cs="Arial"/>
          <w:sz w:val="22"/>
          <w:szCs w:val="22"/>
        </w:rPr>
        <w:t>A</w:t>
      </w:r>
      <w:r w:rsidRPr="00FB04E4">
        <w:rPr>
          <w:rFonts w:ascii="Arial" w:hAnsi="Arial" w:cs="Arial"/>
          <w:sz w:val="22"/>
          <w:szCs w:val="22"/>
        </w:rPr>
        <w:t xml:space="preserve">llo stato attuale, quindi, si possono solo ipotizzare i possibili modelli commerciali che potrebbero </w:t>
      </w:r>
      <w:r w:rsidR="00FB04E4" w:rsidRPr="00FB04E4">
        <w:rPr>
          <w:rFonts w:ascii="Arial" w:hAnsi="Arial" w:cs="Arial"/>
          <w:sz w:val="22"/>
          <w:szCs w:val="22"/>
        </w:rPr>
        <w:t>istaurarsi tra</w:t>
      </w:r>
      <w:r w:rsidRPr="00FB04E4">
        <w:rPr>
          <w:rFonts w:ascii="Arial" w:hAnsi="Arial" w:cs="Arial"/>
          <w:sz w:val="22"/>
          <w:szCs w:val="22"/>
        </w:rPr>
        <w:t xml:space="preserve"> l’Ue e il Regno Unito, dopo che quest</w:t>
      </w:r>
      <w:r w:rsidR="00473196" w:rsidRPr="00FB04E4">
        <w:rPr>
          <w:rFonts w:ascii="Arial" w:hAnsi="Arial" w:cs="Arial"/>
          <w:sz w:val="22"/>
          <w:szCs w:val="22"/>
        </w:rPr>
        <w:t>’ultimo sarà diventato paese terzo</w:t>
      </w:r>
      <w:r w:rsidR="00A02F18" w:rsidRPr="00FB04E4">
        <w:rPr>
          <w:rFonts w:ascii="Arial" w:hAnsi="Arial" w:cs="Arial"/>
          <w:sz w:val="22"/>
          <w:szCs w:val="22"/>
        </w:rPr>
        <w:t>.</w:t>
      </w:r>
    </w:p>
    <w:p w14:paraId="356F08A8" w14:textId="7FABD863" w:rsidR="00A02F18" w:rsidRDefault="00A02F18" w:rsidP="00483497">
      <w:pPr>
        <w:tabs>
          <w:tab w:val="left" w:pos="2940"/>
        </w:tabs>
        <w:spacing w:line="320" w:lineRule="exact"/>
        <w:jc w:val="both"/>
        <w:rPr>
          <w:rFonts w:ascii="Arial" w:hAnsi="Arial" w:cs="Arial"/>
        </w:rPr>
      </w:pPr>
    </w:p>
    <w:p w14:paraId="1DBF3240" w14:textId="7DF26C58" w:rsidR="00335AC6" w:rsidRDefault="00A02F18" w:rsidP="008C1F1C">
      <w:pPr>
        <w:pStyle w:val="ListParagraph"/>
        <w:numPr>
          <w:ilvl w:val="0"/>
          <w:numId w:val="8"/>
        </w:numPr>
        <w:tabs>
          <w:tab w:val="left" w:pos="2940"/>
        </w:tabs>
        <w:spacing w:after="120" w:line="240" w:lineRule="auto"/>
        <w:ind w:left="714" w:hanging="357"/>
        <w:jc w:val="both"/>
        <w:rPr>
          <w:rFonts w:ascii="Arial" w:hAnsi="Arial" w:cs="Arial"/>
          <w:b/>
          <w:lang w:val="it-IT"/>
        </w:rPr>
      </w:pPr>
      <w:r w:rsidRPr="00FA75EF">
        <w:rPr>
          <w:rFonts w:ascii="Arial" w:hAnsi="Arial" w:cs="Arial"/>
          <w:b/>
          <w:lang w:val="it-IT"/>
        </w:rPr>
        <w:t xml:space="preserve">Permanenza del Regno Unito nel </w:t>
      </w:r>
      <w:r w:rsidR="00FA75EF" w:rsidRPr="00FA75EF">
        <w:rPr>
          <w:rFonts w:ascii="Arial" w:hAnsi="Arial" w:cs="Arial"/>
          <w:b/>
          <w:lang w:val="it-IT"/>
        </w:rPr>
        <w:t>Mercato Unico</w:t>
      </w:r>
      <w:r w:rsidR="00FA75EF" w:rsidRPr="00FA75EF">
        <w:rPr>
          <w:rFonts w:ascii="Arial" w:hAnsi="Arial" w:cs="Arial"/>
          <w:lang w:val="it-IT"/>
        </w:rPr>
        <w:t xml:space="preserve"> </w:t>
      </w:r>
      <w:r w:rsidR="00FA75EF">
        <w:rPr>
          <w:rFonts w:ascii="Arial" w:hAnsi="Arial" w:cs="Arial"/>
          <w:lang w:val="it-IT"/>
        </w:rPr>
        <w:t xml:space="preserve">- questa opzione </w:t>
      </w:r>
      <w:r w:rsidR="00FA75EF" w:rsidRPr="00FA75EF">
        <w:rPr>
          <w:rFonts w:ascii="Arial" w:hAnsi="Arial" w:cs="Arial"/>
          <w:lang w:val="it-IT"/>
        </w:rPr>
        <w:t>è stata spesso scongiurata dai promotori della Brexit ma</w:t>
      </w:r>
      <w:r w:rsidR="00FA75EF">
        <w:rPr>
          <w:rFonts w:ascii="Arial" w:hAnsi="Arial" w:cs="Arial"/>
          <w:lang w:val="it-IT"/>
        </w:rPr>
        <w:t xml:space="preserve"> </w:t>
      </w:r>
      <w:r w:rsidR="00FA75EF" w:rsidRPr="00FA75EF">
        <w:rPr>
          <w:rFonts w:ascii="Arial" w:hAnsi="Arial" w:cs="Arial"/>
          <w:lang w:val="it-IT"/>
        </w:rPr>
        <w:t xml:space="preserve">rimane </w:t>
      </w:r>
      <w:r w:rsidR="00FA75EF">
        <w:rPr>
          <w:rFonts w:ascii="Arial" w:hAnsi="Arial" w:cs="Arial"/>
          <w:lang w:val="it-IT"/>
        </w:rPr>
        <w:t xml:space="preserve">comunque </w:t>
      </w:r>
      <w:r w:rsidR="00FA75EF" w:rsidRPr="00FA75EF">
        <w:rPr>
          <w:rFonts w:ascii="Arial" w:hAnsi="Arial" w:cs="Arial"/>
          <w:lang w:val="it-IT"/>
        </w:rPr>
        <w:t xml:space="preserve">una possibilità. Questo anche in vista della difficoltà di raggiungere ad un accordo in merito alla questione del confine </w:t>
      </w:r>
      <w:r w:rsidR="00FB04E4" w:rsidRPr="00FA75EF">
        <w:rPr>
          <w:rFonts w:ascii="Arial" w:hAnsi="Arial" w:cs="Arial"/>
          <w:lang w:val="it-IT"/>
        </w:rPr>
        <w:t>irlandese</w:t>
      </w:r>
      <w:r w:rsidR="00FA75EF" w:rsidRPr="00FA75EF">
        <w:rPr>
          <w:rFonts w:ascii="Arial" w:hAnsi="Arial" w:cs="Arial"/>
          <w:lang w:val="it-IT"/>
        </w:rPr>
        <w:t xml:space="preserve">.  Secondo l’accordo negoziato da Theresa May con la Commissione europea, se Regno Unito e Unione europea, alla fine del periodo di transizione, non riuscissero a trovare un accordo che permetta di non introdurre barriere rigide al confine tra l’Irlanda del Nord e la Repubblica d’Irlanda, a quest’ultima continuerebbe ad essere applicati i regimi in vigore del Mercato Unico mentre il resto del Regno Unito rimarrebbe nell’Unione Doganale senza la possibilità di negoziare accordi commerciali con paesi terzi proprio a causa della sua permanenza nell’unione doganale. </w:t>
      </w:r>
      <w:r w:rsidR="001B5BB8">
        <w:rPr>
          <w:rFonts w:ascii="Arial" w:hAnsi="Arial" w:cs="Arial"/>
          <w:lang w:val="it-IT"/>
        </w:rPr>
        <w:t>Sebbene questa opzione arrecherebbe non pochi vantaggi al Regno Unito – che potrebbe beneficiare di uno status giuridico stabile oltre all’accesso al Mercato Unico europeo – si tratta di un’opzione con poche chance di realizzarsi. In primo luogo, perché’ il Regno Unito sarebbe costretto a mantenere la libera circolazione delle persone (uno dei principali motivi che hanno portato i britannici ad esprimersi per il “</w:t>
      </w:r>
      <w:r w:rsidR="001B5BB8" w:rsidRPr="001B5BB8">
        <w:rPr>
          <w:rFonts w:ascii="Arial" w:hAnsi="Arial" w:cs="Arial"/>
          <w:i/>
          <w:lang w:val="it-IT"/>
        </w:rPr>
        <w:t>leave</w:t>
      </w:r>
      <w:r w:rsidR="001B5BB8">
        <w:rPr>
          <w:rFonts w:ascii="Arial" w:hAnsi="Arial" w:cs="Arial"/>
          <w:lang w:val="it-IT"/>
        </w:rPr>
        <w:t xml:space="preserve">”), la giurisdizione della Corte di Giustizia e i contributi all’Ue. </w:t>
      </w:r>
      <w:r w:rsidR="001B5BB8" w:rsidRPr="001B5BB8">
        <w:rPr>
          <w:rFonts w:ascii="Arial" w:hAnsi="Arial" w:cs="Arial"/>
          <w:b/>
          <w:lang w:val="it-IT"/>
        </w:rPr>
        <w:t>Se questa opzione si dovesse realizzare, le imprese italiane non subirebbero nessuno degli effetti tanto temuti della Brexit e le loro merci, servizi, capitali e lavoratori continuerebbero a godere della libera circolazione. Inoltre, le imprese continuerebbero a beneficiare di un mercato integrato in cui l’armonizzazione delle normative tra i paesi aderenti continuerebbero a rendere i rapporti commerciali semplici ed efficaci</w:t>
      </w:r>
      <w:r w:rsidR="00FB04E4">
        <w:rPr>
          <w:rStyle w:val="FootnoteReference"/>
          <w:rFonts w:ascii="Arial" w:hAnsi="Arial" w:cs="Arial"/>
          <w:b/>
          <w:lang w:val="it-IT"/>
        </w:rPr>
        <w:footnoteReference w:id="8"/>
      </w:r>
      <w:r w:rsidR="001B5BB8" w:rsidRPr="001B5BB8">
        <w:rPr>
          <w:rFonts w:ascii="Arial" w:hAnsi="Arial" w:cs="Arial"/>
          <w:b/>
          <w:lang w:val="it-IT"/>
        </w:rPr>
        <w:t xml:space="preserve">. </w:t>
      </w:r>
    </w:p>
    <w:p w14:paraId="6FE74319" w14:textId="77777777" w:rsidR="00D74079" w:rsidRPr="001B5BB8" w:rsidRDefault="00D74079" w:rsidP="008C1F1C">
      <w:pPr>
        <w:pStyle w:val="ListParagraph"/>
        <w:tabs>
          <w:tab w:val="left" w:pos="2940"/>
        </w:tabs>
        <w:spacing w:after="120" w:line="240" w:lineRule="auto"/>
        <w:jc w:val="both"/>
        <w:rPr>
          <w:rFonts w:ascii="Arial" w:hAnsi="Arial" w:cs="Arial"/>
          <w:b/>
          <w:lang w:val="it-IT"/>
        </w:rPr>
      </w:pPr>
    </w:p>
    <w:p w14:paraId="670931F7" w14:textId="19BECC09" w:rsidR="00094FBF" w:rsidRDefault="00D74079" w:rsidP="008C1F1C">
      <w:pPr>
        <w:pStyle w:val="ListParagraph"/>
        <w:numPr>
          <w:ilvl w:val="0"/>
          <w:numId w:val="8"/>
        </w:numPr>
        <w:tabs>
          <w:tab w:val="left" w:pos="2940"/>
        </w:tabs>
        <w:spacing w:after="120" w:line="240" w:lineRule="auto"/>
        <w:jc w:val="both"/>
        <w:rPr>
          <w:rFonts w:ascii="Arial" w:hAnsi="Arial" w:cs="Arial"/>
          <w:b/>
          <w:lang w:val="it-IT"/>
        </w:rPr>
      </w:pPr>
      <w:r w:rsidRPr="00D74079">
        <w:rPr>
          <w:rFonts w:ascii="Arial" w:hAnsi="Arial" w:cs="Arial"/>
          <w:b/>
          <w:lang w:val="it-IT"/>
        </w:rPr>
        <w:t>Creazione di un accordo di libero scambio (FTA)</w:t>
      </w:r>
      <w:r>
        <w:rPr>
          <w:rStyle w:val="FootnoteReference"/>
          <w:rFonts w:ascii="Arial" w:hAnsi="Arial" w:cs="Arial"/>
          <w:b/>
          <w:lang w:val="it-IT"/>
        </w:rPr>
        <w:footnoteReference w:id="9"/>
      </w:r>
      <w:r w:rsidRPr="00D74079">
        <w:rPr>
          <w:rFonts w:ascii="Arial" w:hAnsi="Arial" w:cs="Arial"/>
          <w:b/>
          <w:lang w:val="it-IT"/>
        </w:rPr>
        <w:t xml:space="preserve"> ad hoc – </w:t>
      </w:r>
      <w:r w:rsidRPr="00D74079">
        <w:rPr>
          <w:rFonts w:ascii="Arial" w:hAnsi="Arial" w:cs="Arial"/>
          <w:lang w:val="it-IT"/>
        </w:rPr>
        <w:t>questa è l’opzione che ha più possibilità di realizzarsi in quanto le posizioni di entrambe le parti sono vicine su questa opzione</w:t>
      </w:r>
      <w:r w:rsidR="00094FBF">
        <w:rPr>
          <w:rStyle w:val="FootnoteReference"/>
          <w:rFonts w:ascii="Arial" w:hAnsi="Arial" w:cs="Arial"/>
          <w:lang w:val="it-IT"/>
        </w:rPr>
        <w:footnoteReference w:id="10"/>
      </w:r>
      <w:r w:rsidRPr="00D74079">
        <w:rPr>
          <w:rFonts w:ascii="Arial" w:hAnsi="Arial" w:cs="Arial"/>
          <w:lang w:val="it-IT"/>
        </w:rPr>
        <w:t xml:space="preserve">. Restano, però, da definire la modalità. </w:t>
      </w:r>
      <w:r w:rsidR="00094FBF">
        <w:rPr>
          <w:rFonts w:ascii="Arial" w:hAnsi="Arial" w:cs="Arial"/>
          <w:lang w:val="it-IT"/>
        </w:rPr>
        <w:t xml:space="preserve"> A questo proposito vengono spesso menzionati altri accordi di libero scambio che l’Ue ha in vigore con Paesi terzi come, ad esempio, quello con il Canada (CETA), con Ucraina, Moldavia e Georgia (DCFT) e, infine, quello con Singapore. In ognuno di questi casi, però, esistono delle condizioni che mal si concilierebbero al caso britannico</w:t>
      </w:r>
      <w:r w:rsidR="001B04A5">
        <w:rPr>
          <w:rFonts w:ascii="Arial" w:hAnsi="Arial" w:cs="Arial"/>
          <w:lang w:val="it-IT"/>
        </w:rPr>
        <w:t xml:space="preserve"> e pertanto ognuno di questi modelli andrebbe riadattato</w:t>
      </w:r>
      <w:r w:rsidR="00094FBF">
        <w:rPr>
          <w:rFonts w:ascii="Arial" w:hAnsi="Arial" w:cs="Arial"/>
          <w:lang w:val="it-IT"/>
        </w:rPr>
        <w:t xml:space="preserve">. </w:t>
      </w:r>
      <w:r w:rsidR="00094FBF">
        <w:rPr>
          <w:rFonts w:ascii="Arial" w:hAnsi="Arial" w:cs="Arial"/>
          <w:b/>
          <w:lang w:val="it-IT"/>
        </w:rPr>
        <w:t xml:space="preserve">Allo stato attuale </w:t>
      </w:r>
      <w:r w:rsidR="00A26E65">
        <w:rPr>
          <w:rFonts w:ascii="Arial" w:hAnsi="Arial" w:cs="Arial"/>
          <w:b/>
          <w:lang w:val="it-IT"/>
        </w:rPr>
        <w:t>è</w:t>
      </w:r>
      <w:r w:rsidR="00094FBF" w:rsidRPr="00094FBF">
        <w:rPr>
          <w:rFonts w:ascii="Arial" w:hAnsi="Arial" w:cs="Arial"/>
          <w:b/>
          <w:lang w:val="it-IT"/>
        </w:rPr>
        <w:t xml:space="preserve"> </w:t>
      </w:r>
      <w:r w:rsidR="001B04A5">
        <w:rPr>
          <w:rFonts w:ascii="Arial" w:hAnsi="Arial" w:cs="Arial"/>
          <w:b/>
          <w:lang w:val="it-IT"/>
        </w:rPr>
        <w:t>dunque</w:t>
      </w:r>
      <w:r w:rsidR="00094FBF" w:rsidRPr="00094FBF">
        <w:rPr>
          <w:rFonts w:ascii="Arial" w:hAnsi="Arial" w:cs="Arial"/>
          <w:b/>
          <w:lang w:val="it-IT"/>
        </w:rPr>
        <w:t xml:space="preserve"> impossibile fare una </w:t>
      </w:r>
      <w:r w:rsidR="00094FBF">
        <w:rPr>
          <w:rFonts w:ascii="Arial" w:hAnsi="Arial" w:cs="Arial"/>
          <w:b/>
          <w:lang w:val="it-IT"/>
        </w:rPr>
        <w:t xml:space="preserve">previsione e </w:t>
      </w:r>
      <w:r w:rsidR="00094FBF" w:rsidRPr="00094FBF">
        <w:rPr>
          <w:rFonts w:ascii="Arial" w:hAnsi="Arial" w:cs="Arial"/>
          <w:b/>
          <w:lang w:val="it-IT"/>
        </w:rPr>
        <w:t xml:space="preserve">stima dei </w:t>
      </w:r>
      <w:r w:rsidR="00094FBF">
        <w:rPr>
          <w:rFonts w:ascii="Arial" w:hAnsi="Arial" w:cs="Arial"/>
          <w:b/>
          <w:lang w:val="it-IT"/>
        </w:rPr>
        <w:t xml:space="preserve">possibili </w:t>
      </w:r>
      <w:r w:rsidR="00094FBF" w:rsidRPr="00094FBF">
        <w:rPr>
          <w:rFonts w:ascii="Arial" w:hAnsi="Arial" w:cs="Arial"/>
          <w:b/>
          <w:lang w:val="it-IT"/>
        </w:rPr>
        <w:t>effetti che un simile accordo potrebbe avere sulle imprese italiane.</w:t>
      </w:r>
    </w:p>
    <w:p w14:paraId="66CED1C1" w14:textId="77777777" w:rsidR="00094FBF" w:rsidRPr="00094FBF" w:rsidRDefault="00094FBF" w:rsidP="008C1F1C">
      <w:pPr>
        <w:pStyle w:val="ListParagraph"/>
        <w:spacing w:after="120" w:line="240" w:lineRule="auto"/>
        <w:rPr>
          <w:rFonts w:ascii="Arial" w:hAnsi="Arial" w:cs="Arial"/>
          <w:b/>
          <w:lang w:val="it-IT"/>
        </w:rPr>
      </w:pPr>
    </w:p>
    <w:p w14:paraId="2CD88053" w14:textId="1A93FE25" w:rsidR="00D74079" w:rsidRPr="001B04A5" w:rsidRDefault="00094FBF" w:rsidP="008C1F1C">
      <w:pPr>
        <w:pStyle w:val="ListParagraph"/>
        <w:numPr>
          <w:ilvl w:val="0"/>
          <w:numId w:val="8"/>
        </w:numPr>
        <w:tabs>
          <w:tab w:val="left" w:pos="2940"/>
        </w:tabs>
        <w:spacing w:after="120" w:line="240" w:lineRule="auto"/>
        <w:jc w:val="both"/>
        <w:rPr>
          <w:rFonts w:ascii="Arial" w:hAnsi="Arial" w:cs="Arial"/>
          <w:b/>
          <w:lang w:val="it-IT"/>
        </w:rPr>
      </w:pPr>
      <w:r>
        <w:rPr>
          <w:rFonts w:ascii="Arial" w:hAnsi="Arial" w:cs="Arial"/>
          <w:b/>
          <w:lang w:val="it-IT"/>
        </w:rPr>
        <w:t xml:space="preserve">Uscita senza accordo e applicazione della normativa dell’Organizzazione mondiale del commercio </w:t>
      </w:r>
      <w:r w:rsidR="00A26E65">
        <w:rPr>
          <w:rFonts w:ascii="Arial" w:hAnsi="Arial" w:cs="Arial"/>
          <w:b/>
          <w:lang w:val="it-IT"/>
        </w:rPr>
        <w:t xml:space="preserve">- </w:t>
      </w:r>
      <w:r w:rsidR="00A26E65" w:rsidRPr="00A26E65">
        <w:rPr>
          <w:rFonts w:ascii="Arial" w:hAnsi="Arial" w:cs="Arial"/>
          <w:lang w:val="it-IT"/>
        </w:rPr>
        <w:t>nel caso in cui il Regno Unito receda dall’Ue senza che venga ratificato l’accordo di recesso (o anche nel caso in cui le due parti non riuscissero a stipulare un accordo commerciale), le relazioni commerciali tra il Regno Unito e l’Unione europea verrebbero regolate dai regimi stabiliti nell’ambito dell’Organizzazione Mondiale del Commercio (OMC)</w:t>
      </w:r>
      <w:r w:rsidR="001B04A5">
        <w:rPr>
          <w:rStyle w:val="FootnoteReference"/>
          <w:rFonts w:ascii="Arial" w:hAnsi="Arial" w:cs="Arial"/>
          <w:lang w:val="it-IT"/>
        </w:rPr>
        <w:footnoteReference w:id="11"/>
      </w:r>
      <w:r w:rsidR="00A26E65" w:rsidRPr="00A26E65">
        <w:rPr>
          <w:rFonts w:ascii="Arial" w:hAnsi="Arial" w:cs="Arial"/>
          <w:lang w:val="it-IT"/>
        </w:rPr>
        <w:t xml:space="preserve">. Se questa opzione dovesse </w:t>
      </w:r>
      <w:r w:rsidR="00A26E65" w:rsidRPr="00A26E65">
        <w:rPr>
          <w:rFonts w:ascii="Arial" w:hAnsi="Arial" w:cs="Arial"/>
          <w:lang w:val="it-IT"/>
        </w:rPr>
        <w:lastRenderedPageBreak/>
        <w:t xml:space="preserve">verificarsi, il Regno Unito e l’Unione europea non avrebbero nessun accesso preferenziale nei reciproci mercati. Soprattutto, le barriere stabilite in ambito GATS (General Agreement on Trade e Services) danneggerebbero di molto il mercato dei servizi, essendo </w:t>
      </w:r>
      <w:r w:rsidR="001B04A5" w:rsidRPr="00A26E65">
        <w:rPr>
          <w:rFonts w:ascii="Arial" w:hAnsi="Arial" w:cs="Arial"/>
          <w:lang w:val="it-IT"/>
        </w:rPr>
        <w:t>queste ultime ancore</w:t>
      </w:r>
      <w:r w:rsidR="00A26E65" w:rsidRPr="00A26E65">
        <w:rPr>
          <w:rFonts w:ascii="Arial" w:hAnsi="Arial" w:cs="Arial"/>
          <w:lang w:val="it-IT"/>
        </w:rPr>
        <w:t xml:space="preserve"> molto restrittive. </w:t>
      </w:r>
      <w:r w:rsidR="00A26E65" w:rsidRPr="001B04A5">
        <w:rPr>
          <w:rFonts w:ascii="Arial" w:hAnsi="Arial" w:cs="Arial"/>
          <w:b/>
          <w:lang w:val="it-IT"/>
        </w:rPr>
        <w:t xml:space="preserve">Le imprese italiane che esportano verso il mercato britannico sarebbero dunque soggette all’applicazione di </w:t>
      </w:r>
      <w:r w:rsidR="00C6461C" w:rsidRPr="001B04A5">
        <w:rPr>
          <w:rFonts w:ascii="Arial" w:hAnsi="Arial" w:cs="Arial"/>
          <w:b/>
          <w:lang w:val="it-IT"/>
        </w:rPr>
        <w:t>formalità</w:t>
      </w:r>
      <w:r w:rsidR="00A26E65" w:rsidRPr="001B04A5">
        <w:rPr>
          <w:rFonts w:ascii="Arial" w:hAnsi="Arial" w:cs="Arial"/>
          <w:b/>
          <w:lang w:val="it-IT"/>
        </w:rPr>
        <w:t xml:space="preserve"> </w:t>
      </w:r>
      <w:r w:rsidR="00C6461C" w:rsidRPr="001B04A5">
        <w:rPr>
          <w:rFonts w:ascii="Arial" w:hAnsi="Arial" w:cs="Arial"/>
          <w:b/>
          <w:lang w:val="it-IT"/>
        </w:rPr>
        <w:t>doganali</w:t>
      </w:r>
      <w:r w:rsidR="00A26E65" w:rsidRPr="001B04A5">
        <w:rPr>
          <w:rFonts w:ascii="Arial" w:hAnsi="Arial" w:cs="Arial"/>
          <w:b/>
          <w:lang w:val="it-IT"/>
        </w:rPr>
        <w:t xml:space="preserve">, dazi, divieti o restrizioni e altre complicazioni. </w:t>
      </w:r>
      <w:r w:rsidR="00C6461C" w:rsidRPr="001B04A5">
        <w:rPr>
          <w:rFonts w:ascii="Arial" w:hAnsi="Arial" w:cs="Arial"/>
          <w:b/>
          <w:lang w:val="it-IT"/>
        </w:rPr>
        <w:t>Ciò</w:t>
      </w:r>
      <w:r w:rsidR="00A26E65" w:rsidRPr="001B04A5">
        <w:rPr>
          <w:rFonts w:ascii="Arial" w:hAnsi="Arial" w:cs="Arial"/>
          <w:b/>
          <w:lang w:val="it-IT"/>
        </w:rPr>
        <w:t xml:space="preserve"> </w:t>
      </w:r>
      <w:r w:rsidR="001B04A5" w:rsidRPr="001B04A5">
        <w:rPr>
          <w:rFonts w:ascii="Arial" w:hAnsi="Arial" w:cs="Arial"/>
          <w:b/>
          <w:lang w:val="it-IT"/>
        </w:rPr>
        <w:t xml:space="preserve">potenzialmente rischia </w:t>
      </w:r>
      <w:r w:rsidR="00A26E65" w:rsidRPr="001B04A5">
        <w:rPr>
          <w:rFonts w:ascii="Arial" w:hAnsi="Arial" w:cs="Arial"/>
          <w:b/>
          <w:lang w:val="it-IT"/>
        </w:rPr>
        <w:t>di danneggiare le imprese coinvolte a cui smetterebbero di applicarsi i trattamenti preferenziali derivanti dall’appartenenza del regno Unito all’Unione europea.</w:t>
      </w:r>
    </w:p>
    <w:p w14:paraId="5781CFCD" w14:textId="5BD8675D" w:rsidR="00A26E65" w:rsidRPr="001B04A5" w:rsidRDefault="00A26E65" w:rsidP="008C1F1C">
      <w:pPr>
        <w:pStyle w:val="ListParagraph"/>
        <w:tabs>
          <w:tab w:val="left" w:pos="2940"/>
        </w:tabs>
        <w:spacing w:after="120" w:line="240" w:lineRule="auto"/>
        <w:jc w:val="both"/>
        <w:rPr>
          <w:rFonts w:ascii="Arial" w:hAnsi="Arial" w:cs="Arial"/>
          <w:b/>
          <w:lang w:val="it-IT"/>
        </w:rPr>
      </w:pPr>
    </w:p>
    <w:p w14:paraId="18024B8E" w14:textId="794C5BE2" w:rsidR="00A66E93" w:rsidRDefault="000E31DD" w:rsidP="001B04A5">
      <w:pPr>
        <w:pStyle w:val="ListParagraph"/>
        <w:numPr>
          <w:ilvl w:val="0"/>
          <w:numId w:val="15"/>
        </w:numPr>
        <w:tabs>
          <w:tab w:val="left" w:pos="2940"/>
        </w:tabs>
        <w:spacing w:after="120" w:line="240" w:lineRule="auto"/>
        <w:ind w:left="284" w:hanging="284"/>
        <w:jc w:val="both"/>
        <w:rPr>
          <w:rFonts w:ascii="Arial" w:hAnsi="Arial" w:cs="Arial"/>
          <w:b/>
          <w:lang w:val="it-IT"/>
        </w:rPr>
      </w:pPr>
      <w:r w:rsidRPr="00AA5167">
        <w:rPr>
          <w:rFonts w:ascii="Arial" w:hAnsi="Arial" w:cs="Arial"/>
          <w:b/>
          <w:i/>
          <w:sz w:val="20"/>
          <w:szCs w:val="20"/>
          <w:lang w:val="it-IT"/>
        </w:rPr>
        <w:t>Possibili effetti della Brexit sul Made in Italy</w:t>
      </w:r>
      <w:r>
        <w:rPr>
          <w:rFonts w:ascii="Arial" w:hAnsi="Arial" w:cs="Arial"/>
          <w:b/>
          <w:lang w:val="it-IT"/>
        </w:rPr>
        <w:t xml:space="preserve">  </w:t>
      </w:r>
    </w:p>
    <w:p w14:paraId="73F19176" w14:textId="48F5E256" w:rsidR="000E31DD" w:rsidRPr="001B04A5" w:rsidRDefault="00A66E93" w:rsidP="003B3840">
      <w:pPr>
        <w:tabs>
          <w:tab w:val="left" w:pos="2940"/>
        </w:tabs>
        <w:spacing w:after="120"/>
        <w:jc w:val="both"/>
        <w:rPr>
          <w:rFonts w:ascii="Arial" w:hAnsi="Arial" w:cs="Arial"/>
          <w:sz w:val="22"/>
          <w:szCs w:val="22"/>
        </w:rPr>
      </w:pPr>
      <w:r w:rsidRPr="001B04A5">
        <w:rPr>
          <w:rFonts w:ascii="Arial" w:hAnsi="Arial" w:cs="Arial"/>
          <w:sz w:val="22"/>
          <w:szCs w:val="22"/>
        </w:rPr>
        <w:t xml:space="preserve">Per la prima volta da 40 anni, le imprese italiane si </w:t>
      </w:r>
      <w:r w:rsidR="001C7B02">
        <w:rPr>
          <w:rFonts w:ascii="Arial" w:hAnsi="Arial" w:cs="Arial"/>
          <w:sz w:val="22"/>
          <w:szCs w:val="22"/>
        </w:rPr>
        <w:t>potrebbero</w:t>
      </w:r>
      <w:r w:rsidRPr="001B04A5">
        <w:rPr>
          <w:rFonts w:ascii="Arial" w:hAnsi="Arial" w:cs="Arial"/>
          <w:sz w:val="22"/>
          <w:szCs w:val="22"/>
        </w:rPr>
        <w:t xml:space="preserve"> trovar</w:t>
      </w:r>
      <w:r w:rsidR="001C7B02">
        <w:rPr>
          <w:rFonts w:ascii="Arial" w:hAnsi="Arial" w:cs="Arial"/>
          <w:sz w:val="22"/>
          <w:szCs w:val="22"/>
        </w:rPr>
        <w:t>si</w:t>
      </w:r>
      <w:r w:rsidRPr="001B04A5">
        <w:rPr>
          <w:rFonts w:ascii="Arial" w:hAnsi="Arial" w:cs="Arial"/>
          <w:sz w:val="22"/>
          <w:szCs w:val="22"/>
        </w:rPr>
        <w:t xml:space="preserve"> ad affrontare dazi sul mercato britannico. </w:t>
      </w:r>
      <w:r w:rsidR="000E31DD" w:rsidRPr="001B04A5">
        <w:rPr>
          <w:rFonts w:ascii="Arial" w:hAnsi="Arial" w:cs="Arial"/>
          <w:sz w:val="22"/>
          <w:szCs w:val="22"/>
        </w:rPr>
        <w:t xml:space="preserve"> Secondo uno studio di Prometeia, a</w:t>
      </w:r>
      <w:r w:rsidRPr="001B04A5">
        <w:rPr>
          <w:rFonts w:ascii="Arial" w:hAnsi="Arial" w:cs="Arial"/>
          <w:sz w:val="22"/>
          <w:szCs w:val="22"/>
        </w:rPr>
        <w:t>nche ipotizzando tariffe contenute, secondo gli odierni profili UE verso paesi terzi, il dazio medio applicato alle imprese italiane dopo il Brexit potrebbe essere superiore al 5% del valore esportato</w:t>
      </w:r>
      <w:r w:rsidR="000E31DD" w:rsidRPr="001B04A5">
        <w:rPr>
          <w:rFonts w:ascii="Arial" w:hAnsi="Arial" w:cs="Arial"/>
          <w:sz w:val="22"/>
          <w:szCs w:val="22"/>
        </w:rPr>
        <w:t xml:space="preserve">. </w:t>
      </w:r>
    </w:p>
    <w:p w14:paraId="5E7FA102" w14:textId="4D38B855" w:rsidR="00483497" w:rsidRPr="001B04A5" w:rsidRDefault="001C7B02" w:rsidP="008C1F1C">
      <w:pPr>
        <w:tabs>
          <w:tab w:val="left" w:pos="2940"/>
        </w:tabs>
        <w:spacing w:after="120"/>
        <w:jc w:val="both"/>
        <w:rPr>
          <w:rFonts w:ascii="Arial" w:hAnsi="Arial" w:cs="Arial"/>
          <w:sz w:val="22"/>
          <w:szCs w:val="22"/>
        </w:rPr>
      </w:pPr>
      <w:r>
        <w:rPr>
          <w:rFonts w:ascii="Arial" w:hAnsi="Arial" w:cs="Arial"/>
          <w:sz w:val="22"/>
          <w:szCs w:val="22"/>
        </w:rPr>
        <w:t>Inoltre, l</w:t>
      </w:r>
      <w:r w:rsidR="00A66E93" w:rsidRPr="001B04A5">
        <w:rPr>
          <w:rFonts w:ascii="Arial" w:hAnsi="Arial" w:cs="Arial"/>
          <w:sz w:val="22"/>
          <w:szCs w:val="22"/>
        </w:rPr>
        <w:t xml:space="preserve">a svalutazione della sterlina potrebbe rappresentare per l’offerta italiana un rilevante, seppur temporaneo, svantaggio competitivo, agendo sulla competitività italiana sia sul mercato britannico (rispetto ai produttori nazionali) sia in paesi terzi dove le imprese italiane e britanniche competono più intensamente. </w:t>
      </w:r>
    </w:p>
    <w:p w14:paraId="4C903E89" w14:textId="77777777" w:rsidR="00B647A9" w:rsidRPr="00B647A9" w:rsidRDefault="00B647A9" w:rsidP="00B647A9">
      <w:pPr>
        <w:pStyle w:val="ListParagraph"/>
        <w:tabs>
          <w:tab w:val="left" w:pos="2940"/>
        </w:tabs>
        <w:spacing w:line="320" w:lineRule="exact"/>
        <w:jc w:val="both"/>
        <w:rPr>
          <w:rFonts w:ascii="Arial" w:hAnsi="Arial" w:cs="Arial"/>
          <w:b/>
          <w:lang w:val="it-IT"/>
        </w:rPr>
      </w:pPr>
    </w:p>
    <w:p w14:paraId="5CDD1121" w14:textId="77777777" w:rsidR="00321E02" w:rsidRPr="00386F59" w:rsidRDefault="00321E02" w:rsidP="008C1F1C">
      <w:pPr>
        <w:tabs>
          <w:tab w:val="left" w:pos="2940"/>
        </w:tabs>
        <w:spacing w:after="120"/>
        <w:jc w:val="both"/>
        <w:rPr>
          <w:rFonts w:ascii="Arial" w:hAnsi="Arial" w:cs="Arial"/>
          <w:sz w:val="22"/>
          <w:szCs w:val="22"/>
        </w:rPr>
      </w:pPr>
    </w:p>
    <w:p w14:paraId="76D58ABF" w14:textId="671D5D32" w:rsidR="00335263" w:rsidRPr="008C1F1C" w:rsidRDefault="00335263" w:rsidP="008C1F1C">
      <w:pPr>
        <w:tabs>
          <w:tab w:val="left" w:pos="2940"/>
        </w:tabs>
        <w:spacing w:after="120"/>
        <w:jc w:val="both"/>
        <w:rPr>
          <w:rFonts w:ascii="Arial" w:hAnsi="Arial" w:cs="Arial"/>
        </w:rPr>
      </w:pPr>
    </w:p>
    <w:sectPr w:rsidR="00335263" w:rsidRPr="008C1F1C" w:rsidSect="009B27F2">
      <w:headerReference w:type="even" r:id="rId8"/>
      <w:headerReference w:type="default" r:id="rId9"/>
      <w:footerReference w:type="default" r:id="rId10"/>
      <w:headerReference w:type="first" r:id="rId11"/>
      <w:footerReference w:type="first" r:id="rId12"/>
      <w:pgSz w:w="11900" w:h="16840"/>
      <w:pgMar w:top="907" w:right="1531" w:bottom="907" w:left="153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34FC9" w14:textId="77777777" w:rsidR="00265965" w:rsidRDefault="00265965" w:rsidP="003B7211">
      <w:r>
        <w:separator/>
      </w:r>
    </w:p>
  </w:endnote>
  <w:endnote w:type="continuationSeparator" w:id="0">
    <w:p w14:paraId="01EB5165" w14:textId="77777777" w:rsidR="00265965" w:rsidRDefault="00265965" w:rsidP="003B7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altName w:val="Times New Roman"/>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2548365"/>
      <w:docPartObj>
        <w:docPartGallery w:val="Page Numbers (Bottom of Page)"/>
        <w:docPartUnique/>
      </w:docPartObj>
    </w:sdtPr>
    <w:sdtEndPr>
      <w:rPr>
        <w:noProof/>
      </w:rPr>
    </w:sdtEndPr>
    <w:sdtContent>
      <w:p w14:paraId="739D8563" w14:textId="607109C9" w:rsidR="009B27F2" w:rsidRDefault="009B27F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D5B72D" w14:textId="77777777" w:rsidR="009B27F2" w:rsidRDefault="009B27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EEDE3" w14:textId="28827A67" w:rsidR="009B27F2" w:rsidRDefault="009B27F2" w:rsidP="0050257E">
    <w:pPr>
      <w:pStyle w:val="Footer"/>
    </w:pPr>
  </w:p>
  <w:p w14:paraId="6338EE9C" w14:textId="77777777" w:rsidR="009B27F2" w:rsidRPr="009D2EC1" w:rsidRDefault="009B27F2" w:rsidP="0050257E">
    <w:pPr>
      <w:pStyle w:val="Footer"/>
    </w:pPr>
    <w:r>
      <w:br/>
    </w:r>
    <w:r>
      <w:br/>
    </w:r>
  </w:p>
  <w:p w14:paraId="1A26CC03" w14:textId="77777777" w:rsidR="009B27F2" w:rsidRDefault="009B27F2" w:rsidP="0050257E">
    <w:pPr>
      <w:pStyle w:val="Footer"/>
      <w:rPr>
        <w:rFonts w:ascii="Roboto" w:hAnsi="Roboto" w:cs="Arial"/>
        <w:sz w:val="16"/>
        <w:szCs w:val="16"/>
      </w:rPr>
    </w:pPr>
  </w:p>
  <w:p w14:paraId="5D6D53CC" w14:textId="77777777" w:rsidR="009B27F2" w:rsidRPr="007C4864" w:rsidRDefault="009B27F2" w:rsidP="0050257E">
    <w:pPr>
      <w:pStyle w:val="Footer"/>
      <w:rPr>
        <w:rFonts w:ascii="Roboto" w:hAnsi="Roboto" w:cs="Arial"/>
        <w:sz w:val="16"/>
        <w:szCs w:val="16"/>
      </w:rPr>
    </w:pPr>
  </w:p>
  <w:p w14:paraId="4634A89A" w14:textId="77777777" w:rsidR="009B27F2" w:rsidRDefault="009B27F2" w:rsidP="0050257E">
    <w:pPr>
      <w:pStyle w:val="Footer"/>
    </w:pPr>
  </w:p>
  <w:p w14:paraId="7D9998B3" w14:textId="77777777" w:rsidR="009B27F2" w:rsidRDefault="009B27F2" w:rsidP="005D2C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20897" w14:textId="77777777" w:rsidR="00265965" w:rsidRDefault="00265965" w:rsidP="003B7211">
      <w:r>
        <w:separator/>
      </w:r>
    </w:p>
  </w:footnote>
  <w:footnote w:type="continuationSeparator" w:id="0">
    <w:p w14:paraId="131909DB" w14:textId="77777777" w:rsidR="00265965" w:rsidRDefault="00265965" w:rsidP="003B7211">
      <w:r>
        <w:continuationSeparator/>
      </w:r>
    </w:p>
  </w:footnote>
  <w:footnote w:id="1">
    <w:p w14:paraId="21552ABD" w14:textId="577A16ED" w:rsidR="009B27F2" w:rsidRPr="000E04D5" w:rsidRDefault="009B27F2">
      <w:pPr>
        <w:pStyle w:val="FootnoteText"/>
      </w:pPr>
      <w:r>
        <w:rPr>
          <w:rStyle w:val="FootnoteReference"/>
        </w:rPr>
        <w:footnoteRef/>
      </w:r>
      <w:r>
        <w:t xml:space="preserve"> </w:t>
      </w:r>
      <w:r w:rsidRPr="000E04D5">
        <w:rPr>
          <w:rFonts w:ascii="Arial" w:hAnsi="Arial" w:cs="Arial"/>
          <w:sz w:val="16"/>
          <w:szCs w:val="16"/>
          <w:shd w:val="clear" w:color="auto" w:fill="FFFFFF"/>
        </w:rPr>
        <w:t>Fonte: elaborazione ICE su dati ISTAT</w:t>
      </w:r>
    </w:p>
  </w:footnote>
  <w:footnote w:id="2">
    <w:p w14:paraId="48F5743A" w14:textId="643DE8B9" w:rsidR="009B27F2" w:rsidRPr="000E04D5" w:rsidRDefault="009B27F2">
      <w:pPr>
        <w:pStyle w:val="FootnoteText"/>
        <w:rPr>
          <w:rFonts w:ascii="Arial" w:hAnsi="Arial" w:cs="Arial"/>
          <w:sz w:val="16"/>
          <w:szCs w:val="16"/>
          <w:shd w:val="clear" w:color="auto" w:fill="FFFFFF"/>
        </w:rPr>
      </w:pPr>
      <w:r>
        <w:rPr>
          <w:rStyle w:val="FootnoteReference"/>
        </w:rPr>
        <w:footnoteRef/>
      </w:r>
      <w:r>
        <w:t xml:space="preserve"> </w:t>
      </w:r>
      <w:r w:rsidRPr="000E04D5">
        <w:rPr>
          <w:rFonts w:ascii="Arial" w:hAnsi="Arial" w:cs="Arial"/>
          <w:sz w:val="16"/>
          <w:szCs w:val="16"/>
          <w:shd w:val="clear" w:color="auto" w:fill="FFFFFF"/>
        </w:rPr>
        <w:t>Fonte: Osservatorio Economico MiSE</w:t>
      </w:r>
    </w:p>
  </w:footnote>
  <w:footnote w:id="3">
    <w:p w14:paraId="62679F9C" w14:textId="6C6B8E79" w:rsidR="009B27F2" w:rsidRPr="000E04D5" w:rsidRDefault="009B27F2">
      <w:pPr>
        <w:pStyle w:val="FootnoteText"/>
      </w:pPr>
      <w:r>
        <w:rPr>
          <w:rStyle w:val="FootnoteReference"/>
        </w:rPr>
        <w:footnoteRef/>
      </w:r>
      <w:r>
        <w:t xml:space="preserve"> </w:t>
      </w:r>
      <w:r w:rsidRPr="000E04D5">
        <w:rPr>
          <w:rFonts w:ascii="Arial" w:hAnsi="Arial" w:cs="Arial"/>
          <w:sz w:val="16"/>
          <w:szCs w:val="16"/>
          <w:shd w:val="clear" w:color="auto" w:fill="FFFFFF"/>
        </w:rPr>
        <w:t>Fonte: Osservatorio Economico MiSE</w:t>
      </w:r>
    </w:p>
  </w:footnote>
  <w:footnote w:id="4">
    <w:p w14:paraId="3F90CFC1" w14:textId="56530A2A" w:rsidR="00107B94" w:rsidRPr="00AA5167" w:rsidRDefault="00107B94">
      <w:pPr>
        <w:pStyle w:val="FootnoteText"/>
        <w:rPr>
          <w:rFonts w:ascii="Arial" w:hAnsi="Arial" w:cs="Arial"/>
          <w:sz w:val="16"/>
          <w:szCs w:val="16"/>
          <w:shd w:val="clear" w:color="auto" w:fill="FFFFFF"/>
        </w:rPr>
      </w:pPr>
      <w:r>
        <w:rPr>
          <w:rStyle w:val="FootnoteReference"/>
        </w:rPr>
        <w:footnoteRef/>
      </w:r>
      <w:r w:rsidRPr="00107B94">
        <w:t xml:space="preserve"> </w:t>
      </w:r>
      <w:r w:rsidRPr="00AA5167">
        <w:rPr>
          <w:rFonts w:ascii="Arial" w:hAnsi="Arial" w:cs="Arial"/>
          <w:sz w:val="16"/>
          <w:szCs w:val="16"/>
          <w:shd w:val="clear" w:color="auto" w:fill="FFFFFF"/>
        </w:rPr>
        <w:t>Fonte: Elaborazione ICE su dati UK Trade Data</w:t>
      </w:r>
    </w:p>
  </w:footnote>
  <w:footnote w:id="5">
    <w:p w14:paraId="7941AF90" w14:textId="30231F54" w:rsidR="0090650B" w:rsidRPr="00AA5167" w:rsidRDefault="0090650B">
      <w:pPr>
        <w:pStyle w:val="FootnoteText"/>
      </w:pPr>
      <w:r>
        <w:rPr>
          <w:rStyle w:val="FootnoteReference"/>
        </w:rPr>
        <w:footnoteRef/>
      </w:r>
      <w:r w:rsidRPr="00AA5167">
        <w:t xml:space="preserve"> </w:t>
      </w:r>
      <w:r w:rsidRPr="00AA5167">
        <w:rPr>
          <w:rFonts w:ascii="Arial" w:hAnsi="Arial" w:cs="Arial"/>
          <w:sz w:val="16"/>
          <w:szCs w:val="16"/>
          <w:shd w:val="clear" w:color="auto" w:fill="FFFFFF"/>
        </w:rPr>
        <w:t>Fonte: Economic and Fiscal Outlook</w:t>
      </w:r>
    </w:p>
  </w:footnote>
  <w:footnote w:id="6">
    <w:p w14:paraId="63CC0536" w14:textId="76B39516" w:rsidR="00B203FE" w:rsidRPr="00B203FE" w:rsidRDefault="006868BD">
      <w:pPr>
        <w:pStyle w:val="FootnoteText"/>
      </w:pPr>
      <w:r>
        <w:rPr>
          <w:rStyle w:val="FootnoteReference"/>
        </w:rPr>
        <w:footnoteRef/>
      </w:r>
      <w:r w:rsidR="00B203FE">
        <w:rPr>
          <w:rStyle w:val="FootnoteReference"/>
        </w:rPr>
        <w:footnoteRef/>
      </w:r>
      <w:r w:rsidR="00B203FE">
        <w:t xml:space="preserve"> Fonte: </w:t>
      </w:r>
    </w:p>
  </w:footnote>
  <w:footnote w:id="7">
    <w:p w14:paraId="255905F1" w14:textId="5EF221EB" w:rsidR="009B27F2" w:rsidRPr="005F77C0" w:rsidRDefault="009B27F2" w:rsidP="005F77C0">
      <w:pPr>
        <w:pStyle w:val="FootnoteText"/>
        <w:jc w:val="both"/>
        <w:rPr>
          <w:rFonts w:ascii="Arial" w:hAnsi="Arial" w:cs="Arial"/>
          <w:sz w:val="16"/>
          <w:szCs w:val="16"/>
          <w:shd w:val="clear" w:color="auto" w:fill="FFFFFF"/>
        </w:rPr>
      </w:pPr>
      <w:r>
        <w:rPr>
          <w:rStyle w:val="FootnoteReference"/>
        </w:rPr>
        <w:footnoteRef/>
      </w:r>
      <w:r>
        <w:t xml:space="preserve"> </w:t>
      </w:r>
      <w:r w:rsidRPr="005F77C0">
        <w:rPr>
          <w:rFonts w:ascii="Arial" w:hAnsi="Arial" w:cs="Arial"/>
          <w:sz w:val="16"/>
          <w:szCs w:val="16"/>
          <w:shd w:val="clear" w:color="auto" w:fill="FFFFFF"/>
        </w:rPr>
        <w:t xml:space="preserve">Il 10 dicembre 2018, </w:t>
      </w:r>
      <w:r>
        <w:rPr>
          <w:rFonts w:ascii="Arial" w:hAnsi="Arial" w:cs="Arial"/>
          <w:sz w:val="16"/>
          <w:szCs w:val="16"/>
          <w:shd w:val="clear" w:color="auto" w:fill="FFFFFF"/>
        </w:rPr>
        <w:t xml:space="preserve">la </w:t>
      </w:r>
      <w:r w:rsidRPr="005F77C0">
        <w:rPr>
          <w:rFonts w:ascii="Arial" w:hAnsi="Arial" w:cs="Arial"/>
          <w:sz w:val="16"/>
          <w:szCs w:val="16"/>
          <w:shd w:val="clear" w:color="auto" w:fill="FFFFFF"/>
        </w:rPr>
        <w:t xml:space="preserve">May ha rinviato la votazione </w:t>
      </w:r>
      <w:r>
        <w:rPr>
          <w:rFonts w:ascii="Arial" w:hAnsi="Arial" w:cs="Arial"/>
          <w:sz w:val="16"/>
          <w:szCs w:val="16"/>
          <w:shd w:val="clear" w:color="auto" w:fill="FFFFFF"/>
        </w:rPr>
        <w:t xml:space="preserve">sul testo dell’Accordo raggiunto e </w:t>
      </w:r>
      <w:r w:rsidRPr="005F77C0">
        <w:rPr>
          <w:rFonts w:ascii="Arial" w:hAnsi="Arial" w:cs="Arial"/>
          <w:sz w:val="16"/>
          <w:szCs w:val="16"/>
          <w:shd w:val="clear" w:color="auto" w:fill="FFFFFF"/>
        </w:rPr>
        <w:t xml:space="preserve">prevista per l'11 dicembre, poiché riteneva che "sarebbe stata respinta con un margine significativo". Il 15 gennaio 2019, la Camera dei Comuni ha respinto l'accordo di </w:t>
      </w:r>
      <w:r>
        <w:rPr>
          <w:rFonts w:ascii="Arial" w:hAnsi="Arial" w:cs="Arial"/>
          <w:sz w:val="16"/>
          <w:szCs w:val="16"/>
          <w:shd w:val="clear" w:color="auto" w:fill="FFFFFF"/>
        </w:rPr>
        <w:t>recesso</w:t>
      </w:r>
      <w:r w:rsidRPr="005F77C0">
        <w:rPr>
          <w:rFonts w:ascii="Arial" w:hAnsi="Arial" w:cs="Arial"/>
          <w:sz w:val="16"/>
          <w:szCs w:val="16"/>
          <w:shd w:val="clear" w:color="auto" w:fill="FFFFFF"/>
        </w:rPr>
        <w:t xml:space="preserve"> </w:t>
      </w:r>
      <w:r>
        <w:rPr>
          <w:rFonts w:ascii="Arial" w:hAnsi="Arial" w:cs="Arial"/>
          <w:sz w:val="16"/>
          <w:szCs w:val="16"/>
          <w:shd w:val="clear" w:color="auto" w:fill="FFFFFF"/>
        </w:rPr>
        <w:t>(</w:t>
      </w:r>
      <w:r w:rsidRPr="005F77C0">
        <w:rPr>
          <w:rFonts w:ascii="Arial" w:hAnsi="Arial" w:cs="Arial"/>
          <w:sz w:val="16"/>
          <w:szCs w:val="16"/>
          <w:shd w:val="clear" w:color="auto" w:fill="FFFFFF"/>
        </w:rPr>
        <w:t xml:space="preserve">432 </w:t>
      </w:r>
      <w:r>
        <w:rPr>
          <w:rFonts w:ascii="Arial" w:hAnsi="Arial" w:cs="Arial"/>
          <w:sz w:val="16"/>
          <w:szCs w:val="16"/>
          <w:shd w:val="clear" w:color="auto" w:fill="FFFFFF"/>
        </w:rPr>
        <w:t>voti contrari e</w:t>
      </w:r>
      <w:r w:rsidRPr="005F77C0">
        <w:rPr>
          <w:rFonts w:ascii="Arial" w:hAnsi="Arial" w:cs="Arial"/>
          <w:sz w:val="16"/>
          <w:szCs w:val="16"/>
          <w:shd w:val="clear" w:color="auto" w:fill="FFFFFF"/>
        </w:rPr>
        <w:t xml:space="preserve"> 202</w:t>
      </w:r>
      <w:r>
        <w:rPr>
          <w:rFonts w:ascii="Arial" w:hAnsi="Arial" w:cs="Arial"/>
          <w:sz w:val="16"/>
          <w:szCs w:val="16"/>
          <w:shd w:val="clear" w:color="auto" w:fill="FFFFFF"/>
        </w:rPr>
        <w:t xml:space="preserve"> favorevoli)</w:t>
      </w:r>
      <w:r w:rsidRPr="005F77C0">
        <w:rPr>
          <w:rFonts w:ascii="Arial" w:hAnsi="Arial" w:cs="Arial"/>
          <w:sz w:val="16"/>
          <w:szCs w:val="16"/>
          <w:shd w:val="clear" w:color="auto" w:fill="FFFFFF"/>
        </w:rPr>
        <w:t xml:space="preserve">. L'accordo è stato nuovamente respinto il 12 marzo 2019 dalla Camera dei Comuni </w:t>
      </w:r>
      <w:r>
        <w:rPr>
          <w:rFonts w:ascii="Arial" w:hAnsi="Arial" w:cs="Arial"/>
          <w:sz w:val="16"/>
          <w:szCs w:val="16"/>
          <w:shd w:val="clear" w:color="auto" w:fill="FFFFFF"/>
        </w:rPr>
        <w:t>(</w:t>
      </w:r>
      <w:r w:rsidRPr="005F77C0">
        <w:rPr>
          <w:rFonts w:ascii="Arial" w:hAnsi="Arial" w:cs="Arial"/>
          <w:sz w:val="16"/>
          <w:szCs w:val="16"/>
          <w:shd w:val="clear" w:color="auto" w:fill="FFFFFF"/>
        </w:rPr>
        <w:t xml:space="preserve">391 </w:t>
      </w:r>
      <w:r>
        <w:rPr>
          <w:rFonts w:ascii="Arial" w:hAnsi="Arial" w:cs="Arial"/>
          <w:sz w:val="16"/>
          <w:szCs w:val="16"/>
          <w:shd w:val="clear" w:color="auto" w:fill="FFFFFF"/>
        </w:rPr>
        <w:t>contrari e</w:t>
      </w:r>
      <w:r w:rsidRPr="005F77C0">
        <w:rPr>
          <w:rFonts w:ascii="Arial" w:hAnsi="Arial" w:cs="Arial"/>
          <w:sz w:val="16"/>
          <w:szCs w:val="16"/>
          <w:shd w:val="clear" w:color="auto" w:fill="FFFFFF"/>
        </w:rPr>
        <w:t xml:space="preserve"> 242</w:t>
      </w:r>
      <w:r>
        <w:rPr>
          <w:rFonts w:ascii="Arial" w:hAnsi="Arial" w:cs="Arial"/>
          <w:sz w:val="16"/>
          <w:szCs w:val="16"/>
          <w:shd w:val="clear" w:color="auto" w:fill="FFFFFF"/>
        </w:rPr>
        <w:t xml:space="preserve"> favorevoli)</w:t>
      </w:r>
      <w:r w:rsidRPr="005F77C0">
        <w:rPr>
          <w:rFonts w:ascii="Arial" w:hAnsi="Arial" w:cs="Arial"/>
          <w:sz w:val="16"/>
          <w:szCs w:val="16"/>
          <w:shd w:val="clear" w:color="auto" w:fill="FFFFFF"/>
        </w:rPr>
        <w:t xml:space="preserve"> e </w:t>
      </w:r>
      <w:r>
        <w:rPr>
          <w:rFonts w:ascii="Arial" w:hAnsi="Arial" w:cs="Arial"/>
          <w:sz w:val="16"/>
          <w:szCs w:val="16"/>
          <w:shd w:val="clear" w:color="auto" w:fill="FFFFFF"/>
        </w:rPr>
        <w:t xml:space="preserve">successivamente </w:t>
      </w:r>
      <w:r w:rsidRPr="005F77C0">
        <w:rPr>
          <w:rFonts w:ascii="Arial" w:hAnsi="Arial" w:cs="Arial"/>
          <w:sz w:val="16"/>
          <w:szCs w:val="16"/>
          <w:shd w:val="clear" w:color="auto" w:fill="FFFFFF"/>
        </w:rPr>
        <w:t xml:space="preserve">il 29 marzo 2019 </w:t>
      </w:r>
      <w:r>
        <w:rPr>
          <w:rFonts w:ascii="Arial" w:hAnsi="Arial" w:cs="Arial"/>
          <w:sz w:val="16"/>
          <w:szCs w:val="16"/>
          <w:shd w:val="clear" w:color="auto" w:fill="FFFFFF"/>
        </w:rPr>
        <w:t>(</w:t>
      </w:r>
      <w:r w:rsidRPr="005F77C0">
        <w:rPr>
          <w:rFonts w:ascii="Arial" w:hAnsi="Arial" w:cs="Arial"/>
          <w:sz w:val="16"/>
          <w:szCs w:val="16"/>
          <w:shd w:val="clear" w:color="auto" w:fill="FFFFFF"/>
        </w:rPr>
        <w:t xml:space="preserve">344 voti </w:t>
      </w:r>
      <w:r>
        <w:rPr>
          <w:rFonts w:ascii="Arial" w:hAnsi="Arial" w:cs="Arial"/>
          <w:sz w:val="16"/>
          <w:szCs w:val="16"/>
          <w:shd w:val="clear" w:color="auto" w:fill="FFFFFF"/>
        </w:rPr>
        <w:t xml:space="preserve">contrari e </w:t>
      </w:r>
      <w:r w:rsidRPr="005F77C0">
        <w:rPr>
          <w:rFonts w:ascii="Arial" w:hAnsi="Arial" w:cs="Arial"/>
          <w:sz w:val="16"/>
          <w:szCs w:val="16"/>
          <w:shd w:val="clear" w:color="auto" w:fill="FFFFFF"/>
        </w:rPr>
        <w:t>286</w:t>
      </w:r>
      <w:r>
        <w:rPr>
          <w:rFonts w:ascii="Arial" w:hAnsi="Arial" w:cs="Arial"/>
          <w:sz w:val="16"/>
          <w:szCs w:val="16"/>
          <w:shd w:val="clear" w:color="auto" w:fill="FFFFFF"/>
        </w:rPr>
        <w:t xml:space="preserve"> favorevoli)</w:t>
      </w:r>
      <w:r w:rsidRPr="005F77C0">
        <w:rPr>
          <w:rFonts w:ascii="Arial" w:hAnsi="Arial" w:cs="Arial"/>
          <w:sz w:val="16"/>
          <w:szCs w:val="16"/>
          <w:shd w:val="clear" w:color="auto" w:fill="FFFFFF"/>
        </w:rPr>
        <w:t>.</w:t>
      </w:r>
    </w:p>
  </w:footnote>
  <w:footnote w:id="8">
    <w:p w14:paraId="278BA1DA" w14:textId="6CBC4493" w:rsidR="00FB04E4" w:rsidRPr="001B04A5" w:rsidRDefault="00FB04E4">
      <w:pPr>
        <w:pStyle w:val="FootnoteText"/>
        <w:rPr>
          <w:rFonts w:ascii="Arial" w:hAnsi="Arial" w:cs="Arial"/>
          <w:sz w:val="16"/>
          <w:szCs w:val="16"/>
        </w:rPr>
      </w:pPr>
      <w:r>
        <w:rPr>
          <w:rStyle w:val="FootnoteReference"/>
        </w:rPr>
        <w:footnoteRef/>
      </w:r>
      <w:r>
        <w:t xml:space="preserve"> </w:t>
      </w:r>
      <w:r w:rsidRPr="001B04A5">
        <w:rPr>
          <w:rFonts w:ascii="Arial" w:hAnsi="Arial" w:cs="Arial"/>
          <w:sz w:val="16"/>
          <w:szCs w:val="16"/>
        </w:rPr>
        <w:t xml:space="preserve">Fonte: </w:t>
      </w:r>
      <w:r w:rsidRPr="001B04A5">
        <w:rPr>
          <w:rFonts w:ascii="Arial" w:hAnsi="Arial" w:cs="Arial"/>
          <w:bCs/>
          <w:i/>
          <w:sz w:val="16"/>
          <w:szCs w:val="16"/>
          <w:shd w:val="clear" w:color="auto" w:fill="FFFFFF"/>
        </w:rPr>
        <w:t>“L’effetto di Brexit sulle imprese italiane”,</w:t>
      </w:r>
      <w:r w:rsidRPr="001B04A5">
        <w:rPr>
          <w:rFonts w:ascii="Arial" w:hAnsi="Arial" w:cs="Arial"/>
          <w:bCs/>
          <w:sz w:val="16"/>
          <w:szCs w:val="16"/>
          <w:shd w:val="clear" w:color="auto" w:fill="FFFFFF"/>
        </w:rPr>
        <w:t xml:space="preserve"> Consolato Generale d’Italia a Londra</w:t>
      </w:r>
      <w:r w:rsidRPr="001B04A5">
        <w:rPr>
          <w:rFonts w:ascii="Arial" w:hAnsi="Arial" w:cs="Arial"/>
          <w:sz w:val="16"/>
          <w:szCs w:val="16"/>
        </w:rPr>
        <w:t xml:space="preserve"> </w:t>
      </w:r>
    </w:p>
  </w:footnote>
  <w:footnote w:id="9">
    <w:p w14:paraId="1964713A" w14:textId="22A20E60" w:rsidR="009B27F2" w:rsidRPr="001B04A5" w:rsidRDefault="009B27F2" w:rsidP="00D74079">
      <w:pPr>
        <w:pStyle w:val="FootnoteText"/>
        <w:jc w:val="both"/>
        <w:rPr>
          <w:rFonts w:ascii="Arial" w:hAnsi="Arial" w:cs="Arial"/>
          <w:bCs/>
          <w:sz w:val="16"/>
          <w:szCs w:val="16"/>
          <w:shd w:val="clear" w:color="auto" w:fill="FFFFFF"/>
        </w:rPr>
      </w:pPr>
      <w:r w:rsidRPr="001B04A5">
        <w:rPr>
          <w:rStyle w:val="FootnoteReference"/>
          <w:rFonts w:ascii="Arial" w:hAnsi="Arial" w:cs="Arial"/>
          <w:sz w:val="16"/>
          <w:szCs w:val="16"/>
        </w:rPr>
        <w:footnoteRef/>
      </w:r>
      <w:r w:rsidRPr="001B04A5">
        <w:rPr>
          <w:rFonts w:ascii="Arial" w:hAnsi="Arial" w:cs="Arial"/>
          <w:sz w:val="16"/>
          <w:szCs w:val="16"/>
        </w:rPr>
        <w:t xml:space="preserve"> </w:t>
      </w:r>
      <w:r w:rsidRPr="001B04A5">
        <w:rPr>
          <w:rFonts w:ascii="Arial" w:hAnsi="Arial" w:cs="Arial"/>
          <w:bCs/>
          <w:sz w:val="16"/>
          <w:szCs w:val="16"/>
          <w:shd w:val="clear" w:color="auto" w:fill="FFFFFF"/>
        </w:rPr>
        <w:t xml:space="preserve">Un </w:t>
      </w:r>
      <w:r w:rsidRPr="001B04A5">
        <w:rPr>
          <w:rFonts w:ascii="Arial" w:hAnsi="Arial" w:cs="Arial"/>
          <w:b/>
          <w:bCs/>
          <w:sz w:val="16"/>
          <w:szCs w:val="16"/>
          <w:shd w:val="clear" w:color="auto" w:fill="FFFFFF"/>
        </w:rPr>
        <w:t>Accordo di libero scambio</w:t>
      </w:r>
      <w:r w:rsidRPr="001B04A5">
        <w:rPr>
          <w:rFonts w:ascii="Arial" w:hAnsi="Arial" w:cs="Arial"/>
          <w:bCs/>
          <w:sz w:val="16"/>
          <w:szCs w:val="16"/>
          <w:shd w:val="clear" w:color="auto" w:fill="FFFFFF"/>
        </w:rPr>
        <w:t> (anche conosciuto con l’acronimo FTA dall’inglese Free trade Agreement) è un ben definito gruppo di </w:t>
      </w:r>
      <w:hyperlink r:id="rId1" w:tooltip="Stato" w:history="1">
        <w:r w:rsidRPr="001B04A5">
          <w:rPr>
            <w:rFonts w:ascii="Arial" w:hAnsi="Arial" w:cs="Arial"/>
            <w:bCs/>
            <w:sz w:val="16"/>
            <w:szCs w:val="16"/>
            <w:shd w:val="clear" w:color="auto" w:fill="FFFFFF"/>
          </w:rPr>
          <w:t>paesi</w:t>
        </w:r>
      </w:hyperlink>
      <w:r w:rsidRPr="001B04A5">
        <w:rPr>
          <w:rFonts w:ascii="Arial" w:hAnsi="Arial" w:cs="Arial"/>
          <w:bCs/>
          <w:sz w:val="16"/>
          <w:szCs w:val="16"/>
          <w:shd w:val="clear" w:color="auto" w:fill="FFFFFF"/>
        </w:rPr>
        <w:t> che hanno concordato di eliminare </w:t>
      </w:r>
      <w:hyperlink r:id="rId2" w:tooltip="Dazio (economia)" w:history="1">
        <w:r w:rsidRPr="001B04A5">
          <w:rPr>
            <w:rFonts w:ascii="Arial" w:hAnsi="Arial" w:cs="Arial"/>
            <w:bCs/>
            <w:sz w:val="16"/>
            <w:szCs w:val="16"/>
            <w:shd w:val="clear" w:color="auto" w:fill="FFFFFF"/>
          </w:rPr>
          <w:t>dazi</w:t>
        </w:r>
      </w:hyperlink>
      <w:r w:rsidRPr="001B04A5">
        <w:rPr>
          <w:rFonts w:ascii="Arial" w:hAnsi="Arial" w:cs="Arial"/>
          <w:bCs/>
          <w:sz w:val="16"/>
          <w:szCs w:val="16"/>
          <w:shd w:val="clear" w:color="auto" w:fill="FFFFFF"/>
        </w:rPr>
        <w:t>, </w:t>
      </w:r>
      <w:hyperlink r:id="rId3" w:tooltip="Quota di importazione (la pagina non esiste)" w:history="1">
        <w:r w:rsidRPr="001B04A5">
          <w:rPr>
            <w:rFonts w:ascii="Arial" w:hAnsi="Arial" w:cs="Arial"/>
            <w:bCs/>
            <w:sz w:val="16"/>
            <w:szCs w:val="16"/>
            <w:shd w:val="clear" w:color="auto" w:fill="FFFFFF"/>
          </w:rPr>
          <w:t>quote</w:t>
        </w:r>
      </w:hyperlink>
      <w:r w:rsidRPr="001B04A5">
        <w:rPr>
          <w:rFonts w:ascii="Arial" w:hAnsi="Arial" w:cs="Arial"/>
          <w:bCs/>
          <w:sz w:val="16"/>
          <w:szCs w:val="16"/>
          <w:shd w:val="clear" w:color="auto" w:fill="FFFFFF"/>
        </w:rPr>
        <w:t> e preferenze tariffali su molti (o addirittura su tutti) i </w:t>
      </w:r>
      <w:hyperlink r:id="rId4" w:tooltip="Bene (economia)" w:history="1">
        <w:r w:rsidRPr="001B04A5">
          <w:rPr>
            <w:rFonts w:ascii="Arial" w:hAnsi="Arial" w:cs="Arial"/>
            <w:bCs/>
            <w:sz w:val="16"/>
            <w:szCs w:val="16"/>
            <w:shd w:val="clear" w:color="auto" w:fill="FFFFFF"/>
          </w:rPr>
          <w:t>beni</w:t>
        </w:r>
      </w:hyperlink>
      <w:r w:rsidRPr="001B04A5">
        <w:rPr>
          <w:rFonts w:ascii="Arial" w:hAnsi="Arial" w:cs="Arial"/>
          <w:bCs/>
          <w:sz w:val="16"/>
          <w:szCs w:val="16"/>
          <w:shd w:val="clear" w:color="auto" w:fill="FFFFFF"/>
        </w:rPr>
        <w:t> tra di loro. A differenza di una unione doganale, i membri di una area di libero scambio non hanno </w:t>
      </w:r>
      <w:hyperlink r:id="rId5" w:tooltip="Tariffa esterna comune (la pagina non esiste)" w:history="1">
        <w:r w:rsidRPr="001B04A5">
          <w:rPr>
            <w:rFonts w:ascii="Arial" w:hAnsi="Arial" w:cs="Arial"/>
            <w:bCs/>
            <w:sz w:val="16"/>
            <w:szCs w:val="16"/>
            <w:shd w:val="clear" w:color="auto" w:fill="FFFFFF"/>
          </w:rPr>
          <w:t>la stessa politica doganale verso i paesi non membri</w:t>
        </w:r>
      </w:hyperlink>
      <w:r w:rsidRPr="001B04A5">
        <w:rPr>
          <w:rFonts w:ascii="Arial" w:hAnsi="Arial" w:cs="Arial"/>
          <w:bCs/>
          <w:sz w:val="16"/>
          <w:szCs w:val="16"/>
          <w:shd w:val="clear" w:color="auto" w:fill="FFFFFF"/>
        </w:rPr>
        <w:t>, ciò significa che ciascun paese membro può applicare differenti </w:t>
      </w:r>
      <w:hyperlink r:id="rId6" w:tooltip="Dazio (economia)" w:history="1">
        <w:r w:rsidRPr="001B04A5">
          <w:rPr>
            <w:rFonts w:ascii="Arial" w:hAnsi="Arial" w:cs="Arial"/>
            <w:bCs/>
            <w:sz w:val="16"/>
            <w:szCs w:val="16"/>
            <w:shd w:val="clear" w:color="auto" w:fill="FFFFFF"/>
          </w:rPr>
          <w:t>dazi</w:t>
        </w:r>
      </w:hyperlink>
      <w:r w:rsidRPr="001B04A5">
        <w:rPr>
          <w:rFonts w:ascii="Arial" w:hAnsi="Arial" w:cs="Arial"/>
          <w:bCs/>
          <w:sz w:val="16"/>
          <w:szCs w:val="16"/>
          <w:shd w:val="clear" w:color="auto" w:fill="FFFFFF"/>
        </w:rPr>
        <w:t> o </w:t>
      </w:r>
      <w:hyperlink r:id="rId7" w:tooltip="Quota di importazione (la pagina non esiste)" w:history="1">
        <w:r w:rsidRPr="001B04A5">
          <w:rPr>
            <w:rFonts w:ascii="Arial" w:hAnsi="Arial" w:cs="Arial"/>
            <w:bCs/>
            <w:sz w:val="16"/>
            <w:szCs w:val="16"/>
            <w:shd w:val="clear" w:color="auto" w:fill="FFFFFF"/>
          </w:rPr>
          <w:t>quote</w:t>
        </w:r>
      </w:hyperlink>
      <w:r w:rsidRPr="001B04A5">
        <w:rPr>
          <w:rFonts w:ascii="Arial" w:hAnsi="Arial" w:cs="Arial"/>
          <w:bCs/>
          <w:sz w:val="16"/>
          <w:szCs w:val="16"/>
          <w:shd w:val="clear" w:color="auto" w:fill="FFFFFF"/>
        </w:rPr>
        <w:t> a paesi non-membri. </w:t>
      </w:r>
    </w:p>
  </w:footnote>
  <w:footnote w:id="10">
    <w:p w14:paraId="73E6F860" w14:textId="242AE4ED" w:rsidR="009B27F2" w:rsidRPr="00094FBF" w:rsidRDefault="009B27F2" w:rsidP="00094FBF">
      <w:pPr>
        <w:pStyle w:val="FootnoteText"/>
        <w:jc w:val="both"/>
        <w:rPr>
          <w:rFonts w:ascii="Arial" w:hAnsi="Arial" w:cs="Arial"/>
          <w:bCs/>
          <w:sz w:val="16"/>
          <w:szCs w:val="16"/>
          <w:shd w:val="clear" w:color="auto" w:fill="FFFFFF"/>
        </w:rPr>
      </w:pPr>
      <w:r w:rsidRPr="001B04A5">
        <w:rPr>
          <w:rStyle w:val="FootnoteReference"/>
          <w:rFonts w:ascii="Arial" w:hAnsi="Arial" w:cs="Arial"/>
          <w:sz w:val="16"/>
          <w:szCs w:val="16"/>
        </w:rPr>
        <w:footnoteRef/>
      </w:r>
      <w:r w:rsidRPr="001B04A5">
        <w:rPr>
          <w:rFonts w:ascii="Arial" w:hAnsi="Arial" w:cs="Arial"/>
          <w:sz w:val="16"/>
          <w:szCs w:val="16"/>
        </w:rPr>
        <w:t xml:space="preserve"> </w:t>
      </w:r>
      <w:r w:rsidR="001B04A5">
        <w:rPr>
          <w:rFonts w:ascii="Arial" w:hAnsi="Arial" w:cs="Arial"/>
          <w:bCs/>
          <w:sz w:val="16"/>
          <w:szCs w:val="16"/>
          <w:shd w:val="clear" w:color="auto" w:fill="FFFFFF"/>
        </w:rPr>
        <w:t>In u</w:t>
      </w:r>
      <w:r w:rsidRPr="001B04A5">
        <w:rPr>
          <w:rFonts w:ascii="Arial" w:hAnsi="Arial" w:cs="Arial"/>
          <w:bCs/>
          <w:sz w:val="16"/>
          <w:szCs w:val="16"/>
          <w:shd w:val="clear" w:color="auto" w:fill="FFFFFF"/>
        </w:rPr>
        <w:t>no studio del Parlamento britannico, intitolato “</w:t>
      </w:r>
      <w:r w:rsidRPr="001B04A5">
        <w:rPr>
          <w:rFonts w:ascii="Arial" w:hAnsi="Arial" w:cs="Arial"/>
          <w:bCs/>
          <w:i/>
          <w:sz w:val="16"/>
          <w:szCs w:val="16"/>
          <w:shd w:val="clear" w:color="auto" w:fill="FFFFFF"/>
        </w:rPr>
        <w:t>UK-UE relations after Brexit Contents</w:t>
      </w:r>
      <w:r w:rsidRPr="001B04A5">
        <w:rPr>
          <w:rFonts w:ascii="Arial" w:hAnsi="Arial" w:cs="Arial"/>
          <w:bCs/>
          <w:sz w:val="16"/>
          <w:szCs w:val="16"/>
          <w:shd w:val="clear" w:color="auto" w:fill="FFFFFF"/>
        </w:rPr>
        <w:t>” e che riassume l</w:t>
      </w:r>
      <w:r w:rsidR="001B04A5">
        <w:rPr>
          <w:rFonts w:ascii="Arial" w:hAnsi="Arial" w:cs="Arial"/>
          <w:bCs/>
          <w:sz w:val="16"/>
          <w:szCs w:val="16"/>
          <w:shd w:val="clear" w:color="auto" w:fill="FFFFFF"/>
        </w:rPr>
        <w:t>a</w:t>
      </w:r>
      <w:r w:rsidRPr="001B04A5">
        <w:rPr>
          <w:rFonts w:ascii="Arial" w:hAnsi="Arial" w:cs="Arial"/>
          <w:bCs/>
          <w:sz w:val="16"/>
          <w:szCs w:val="16"/>
          <w:shd w:val="clear" w:color="auto" w:fill="FFFFFF"/>
        </w:rPr>
        <w:t xml:space="preserve"> posizione del Regno Unito e dell’Ue sui vari temi della Brexit, </w:t>
      </w:r>
      <w:r w:rsidR="001B04A5">
        <w:rPr>
          <w:rFonts w:ascii="Arial" w:hAnsi="Arial" w:cs="Arial"/>
          <w:bCs/>
          <w:sz w:val="16"/>
          <w:szCs w:val="16"/>
          <w:shd w:val="clear" w:color="auto" w:fill="FFFFFF"/>
        </w:rPr>
        <w:t xml:space="preserve">emerge che </w:t>
      </w:r>
      <w:r w:rsidRPr="001B04A5">
        <w:rPr>
          <w:rFonts w:ascii="Arial" w:hAnsi="Arial" w:cs="Arial"/>
          <w:bCs/>
          <w:sz w:val="16"/>
          <w:szCs w:val="16"/>
          <w:shd w:val="clear" w:color="auto" w:fill="FFFFFF"/>
        </w:rPr>
        <w:t xml:space="preserve">sul punto </w:t>
      </w:r>
      <w:r w:rsidRPr="001B04A5">
        <w:rPr>
          <w:rFonts w:ascii="Arial" w:hAnsi="Arial" w:cs="Arial"/>
          <w:bCs/>
          <w:i/>
          <w:sz w:val="16"/>
          <w:szCs w:val="16"/>
          <w:shd w:val="clear" w:color="auto" w:fill="FFFFFF"/>
        </w:rPr>
        <w:t>“Future economic relationship”</w:t>
      </w:r>
      <w:r w:rsidRPr="001B04A5">
        <w:rPr>
          <w:rFonts w:ascii="Arial" w:hAnsi="Arial" w:cs="Arial"/>
          <w:bCs/>
          <w:sz w:val="16"/>
          <w:szCs w:val="16"/>
          <w:shd w:val="clear" w:color="auto" w:fill="FFFFFF"/>
        </w:rPr>
        <w:t xml:space="preserve"> la posizione del Regno Unito e’ “</w:t>
      </w:r>
      <w:r w:rsidRPr="001B04A5">
        <w:rPr>
          <w:rFonts w:ascii="Arial" w:hAnsi="Arial" w:cs="Arial"/>
          <w:bCs/>
          <w:i/>
          <w:sz w:val="16"/>
          <w:szCs w:val="16"/>
          <w:shd w:val="clear" w:color="auto" w:fill="FFFFFF"/>
        </w:rPr>
        <w:t>Economic partnership, covering more sectors and co-operating more fully than any FTA</w:t>
      </w:r>
      <w:r w:rsidRPr="001B04A5">
        <w:rPr>
          <w:rFonts w:ascii="Arial" w:hAnsi="Arial" w:cs="Arial"/>
          <w:bCs/>
          <w:sz w:val="16"/>
          <w:szCs w:val="16"/>
          <w:shd w:val="clear" w:color="auto" w:fill="FFFFFF"/>
        </w:rPr>
        <w:t xml:space="preserve">”; quella del Consilio Europeo </w:t>
      </w:r>
      <w:r w:rsidR="001B04A5">
        <w:rPr>
          <w:rFonts w:ascii="Arial" w:hAnsi="Arial" w:cs="Arial"/>
          <w:bCs/>
          <w:sz w:val="16"/>
          <w:szCs w:val="16"/>
          <w:shd w:val="clear" w:color="auto" w:fill="FFFFFF"/>
        </w:rPr>
        <w:t>“</w:t>
      </w:r>
      <w:r w:rsidRPr="001B04A5">
        <w:rPr>
          <w:rFonts w:ascii="Arial" w:hAnsi="Arial" w:cs="Arial"/>
          <w:bCs/>
          <w:i/>
          <w:sz w:val="16"/>
          <w:szCs w:val="16"/>
          <w:shd w:val="clear" w:color="auto" w:fill="FFFFFF"/>
        </w:rPr>
        <w:t>A balanced, ambitious and wide ranging FTA. This cannot offer the same benefits as EU Membership</w:t>
      </w:r>
      <w:r w:rsidRPr="001B04A5">
        <w:rPr>
          <w:rFonts w:ascii="Arial" w:hAnsi="Arial" w:cs="Arial"/>
          <w:bCs/>
          <w:sz w:val="16"/>
          <w:szCs w:val="16"/>
          <w:shd w:val="clear" w:color="auto" w:fill="FFFFFF"/>
        </w:rPr>
        <w:t>”.</w:t>
      </w:r>
      <w:r w:rsidRPr="00094FBF">
        <w:rPr>
          <w:rFonts w:ascii="Arial" w:hAnsi="Arial" w:cs="Arial"/>
          <w:bCs/>
          <w:sz w:val="16"/>
          <w:szCs w:val="16"/>
          <w:shd w:val="clear" w:color="auto" w:fill="FFFFFF"/>
        </w:rPr>
        <w:t xml:space="preserve">  </w:t>
      </w:r>
    </w:p>
  </w:footnote>
  <w:footnote w:id="11">
    <w:p w14:paraId="3A899507" w14:textId="5D8693BE" w:rsidR="001B04A5" w:rsidRPr="001C7B02" w:rsidRDefault="001B04A5" w:rsidP="001C7B02">
      <w:pPr>
        <w:pStyle w:val="FootnoteText"/>
        <w:jc w:val="both"/>
        <w:rPr>
          <w:rFonts w:ascii="Arial" w:hAnsi="Arial" w:cs="Arial"/>
          <w:bCs/>
          <w:sz w:val="16"/>
          <w:szCs w:val="16"/>
          <w:shd w:val="clear" w:color="auto" w:fill="FFFFFF"/>
        </w:rPr>
      </w:pPr>
      <w:r>
        <w:rPr>
          <w:rStyle w:val="FootnoteReference"/>
        </w:rPr>
        <w:footnoteRef/>
      </w:r>
      <w:r>
        <w:t xml:space="preserve"> </w:t>
      </w:r>
      <w:r w:rsidRPr="001C7B02">
        <w:rPr>
          <w:rFonts w:ascii="Arial" w:hAnsi="Arial" w:cs="Arial"/>
          <w:bCs/>
          <w:sz w:val="16"/>
          <w:szCs w:val="16"/>
          <w:shd w:val="clear" w:color="auto" w:fill="FFFFFF"/>
        </w:rPr>
        <w:t>Sebbene le condizioni commerciali del regno Unito in seno all’OMC siano stabilite dall’UE</w:t>
      </w:r>
      <w:r w:rsidR="001C7B02" w:rsidRPr="001C7B02">
        <w:rPr>
          <w:rFonts w:ascii="Arial" w:hAnsi="Arial" w:cs="Arial"/>
          <w:bCs/>
          <w:sz w:val="16"/>
          <w:szCs w:val="16"/>
          <w:shd w:val="clear" w:color="auto" w:fill="FFFFFF"/>
        </w:rPr>
        <w:t xml:space="preserve"> nell’ambito della politica commerciale comune, il Regno Unito partecipa all’organizzazione in maniera autonoma così che al recesso dell’Ue non corrisponderebbe l’uscita dall’Omc.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3AE63" w14:textId="77777777" w:rsidR="009B27F2" w:rsidRPr="00E427C6" w:rsidRDefault="00265965">
    <w:pPr>
      <w:pStyle w:val="Header"/>
      <w:rPr>
        <w:lang w:val="en-GB"/>
      </w:rPr>
    </w:pPr>
    <w:sdt>
      <w:sdtPr>
        <w:id w:val="171999623"/>
        <w:placeholder>
          <w:docPart w:val="2DB9EDB9BB81A0429BBB3A067F1D137B"/>
        </w:placeholder>
        <w:temporary/>
        <w:showingPlcHdr/>
      </w:sdtPr>
      <w:sdtEndPr/>
      <w:sdtContent>
        <w:r w:rsidR="009B27F2" w:rsidRPr="00E427C6">
          <w:rPr>
            <w:lang w:val="en-GB"/>
          </w:rPr>
          <w:t>[Type text]</w:t>
        </w:r>
      </w:sdtContent>
    </w:sdt>
    <w:r w:rsidR="009B27F2">
      <w:ptab w:relativeTo="margin" w:alignment="center" w:leader="none"/>
    </w:r>
    <w:sdt>
      <w:sdtPr>
        <w:id w:val="171999624"/>
        <w:placeholder>
          <w:docPart w:val="2BE833B58A055549B133E1A3EBAC687B"/>
        </w:placeholder>
        <w:temporary/>
        <w:showingPlcHdr/>
      </w:sdtPr>
      <w:sdtEndPr/>
      <w:sdtContent>
        <w:r w:rsidR="009B27F2" w:rsidRPr="00E427C6">
          <w:rPr>
            <w:lang w:val="en-GB"/>
          </w:rPr>
          <w:t>[Type text]</w:t>
        </w:r>
      </w:sdtContent>
    </w:sdt>
    <w:r w:rsidR="009B27F2">
      <w:ptab w:relativeTo="margin" w:alignment="right" w:leader="none"/>
    </w:r>
    <w:sdt>
      <w:sdtPr>
        <w:id w:val="171999625"/>
        <w:placeholder>
          <w:docPart w:val="C439EA62233C9D478EBD3B18DC0F1CFE"/>
        </w:placeholder>
        <w:temporary/>
        <w:showingPlcHdr/>
      </w:sdtPr>
      <w:sdtEndPr/>
      <w:sdtContent>
        <w:r w:rsidR="009B27F2" w:rsidRPr="00E427C6">
          <w:rPr>
            <w:lang w:val="en-GB"/>
          </w:rPr>
          <w:t>[Type text]</w:t>
        </w:r>
      </w:sdtContent>
    </w:sdt>
  </w:p>
  <w:p w14:paraId="0A45E9EE" w14:textId="77777777" w:rsidR="009B27F2" w:rsidRPr="00E427C6" w:rsidRDefault="009B27F2">
    <w:pPr>
      <w:pStyle w:val="Header"/>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3C1D3" w14:textId="77777777" w:rsidR="009B27F2" w:rsidRDefault="009B27F2" w:rsidP="00FF62C9">
    <w:pPr>
      <w:pStyle w:val="Header"/>
    </w:pPr>
  </w:p>
  <w:p w14:paraId="233F9B56" w14:textId="77777777" w:rsidR="009B27F2" w:rsidRDefault="009B27F2" w:rsidP="00FF62C9">
    <w:pPr>
      <w:pStyle w:val="Header"/>
    </w:pPr>
  </w:p>
  <w:p w14:paraId="5A370A5B" w14:textId="77777777" w:rsidR="009B27F2" w:rsidRDefault="009B27F2" w:rsidP="00FF62C9">
    <w:pPr>
      <w:pStyle w:val="Header"/>
      <w:spacing w:line="276" w:lineRule="auto"/>
    </w:pPr>
  </w:p>
  <w:p w14:paraId="43B9F7EB" w14:textId="77777777" w:rsidR="009B27F2" w:rsidRDefault="009B27F2" w:rsidP="0050257E">
    <w:pPr>
      <w:pStyle w:val="Header"/>
      <w:spacing w:line="276" w:lineRule="auto"/>
    </w:pPr>
    <w:r>
      <w:rPr>
        <w:noProof/>
        <w:lang w:eastAsia="it-IT"/>
      </w:rPr>
      <w:drawing>
        <wp:inline distT="0" distB="0" distL="0" distR="0" wp14:anchorId="31580F3A" wp14:editId="1A4D0029">
          <wp:extent cx="1399489" cy="720346"/>
          <wp:effectExtent l="0" t="0" r="0" b="381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A_logo.ai"/>
                  <pic:cNvPicPr/>
                </pic:nvPicPr>
                <pic:blipFill>
                  <a:blip r:embed="rId1"/>
                  <a:stretch>
                    <a:fillRect/>
                  </a:stretch>
                </pic:blipFill>
                <pic:spPr bwMode="auto">
                  <a:xfrm>
                    <a:off x="0" y="0"/>
                    <a:ext cx="1399489" cy="720346"/>
                  </a:xfrm>
                  <a:prstGeom prst="rect">
                    <a:avLst/>
                  </a:prstGeom>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xt>
                  </a:extLst>
                </pic:spPr>
              </pic:pic>
            </a:graphicData>
          </a:graphic>
        </wp:inline>
      </w:drawing>
    </w:r>
  </w:p>
  <w:p w14:paraId="5068CEFB" w14:textId="77777777" w:rsidR="009B27F2" w:rsidRDefault="009B27F2" w:rsidP="0050257E">
    <w:pPr>
      <w:rPr>
        <w:rFonts w:ascii="Arial" w:hAnsi="Arial" w:cs="Arial"/>
        <w:color w:val="46494C"/>
        <w:sz w:val="18"/>
        <w:szCs w:val="18"/>
        <w:lang w:val="en-US"/>
      </w:rPr>
    </w:pPr>
  </w:p>
  <w:p w14:paraId="5FD96081" w14:textId="77777777" w:rsidR="009B27F2" w:rsidRPr="00E427C6" w:rsidRDefault="009B27F2" w:rsidP="0050257E">
    <w:pPr>
      <w:rPr>
        <w:rFonts w:ascii="Arial" w:hAnsi="Arial" w:cs="Arial"/>
        <w:color w:val="46494C"/>
        <w:sz w:val="18"/>
        <w:szCs w:val="18"/>
        <w:lang w:val="en-US"/>
      </w:rPr>
    </w:pPr>
    <w:r>
      <w:rPr>
        <w:rFonts w:ascii="Arial" w:hAnsi="Arial" w:cs="Arial"/>
        <w:color w:val="46494C"/>
        <w:sz w:val="18"/>
        <w:szCs w:val="18"/>
        <w:lang w:val="en-US"/>
      </w:rPr>
      <w:t xml:space="preserve">London </w:t>
    </w:r>
  </w:p>
  <w:p w14:paraId="1657E090" w14:textId="77777777" w:rsidR="009B27F2" w:rsidRDefault="009B27F2" w:rsidP="005025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A58A6" w14:textId="628FEE45" w:rsidR="009B27F2" w:rsidRDefault="009B27F2" w:rsidP="00160333">
    <w:pPr>
      <w:spacing w:line="320" w:lineRule="exact"/>
      <w:jc w:val="both"/>
      <w:rPr>
        <w:rFonts w:ascii="Arial" w:hAnsi="Arial" w:cs="Arial"/>
        <w:b/>
        <w:color w:val="5D6267"/>
        <w:sz w:val="22"/>
        <w:szCs w:val="22"/>
      </w:rPr>
    </w:pPr>
  </w:p>
  <w:p w14:paraId="5757AFBF" w14:textId="2AF40EA9" w:rsidR="009B27F2" w:rsidRDefault="009B27F2" w:rsidP="00160333">
    <w:pPr>
      <w:spacing w:line="320" w:lineRule="exact"/>
      <w:jc w:val="both"/>
      <w:rPr>
        <w:rFonts w:ascii="Arial" w:hAnsi="Arial" w:cs="Arial"/>
        <w:b/>
        <w:color w:val="5D6267"/>
        <w:sz w:val="22"/>
        <w:szCs w:val="22"/>
      </w:rPr>
    </w:pPr>
  </w:p>
  <w:p w14:paraId="4AB4E86C" w14:textId="39519164" w:rsidR="009B27F2" w:rsidRDefault="009B27F2">
    <w:pPr>
      <w:pStyle w:val="Header"/>
    </w:pPr>
  </w:p>
  <w:p w14:paraId="09437396" w14:textId="77777777" w:rsidR="009B27F2" w:rsidRDefault="009B27F2">
    <w:pPr>
      <w:pStyle w:val="Header"/>
    </w:pPr>
  </w:p>
  <w:p w14:paraId="46B4B1FF" w14:textId="35176887" w:rsidR="009B27F2" w:rsidRDefault="009B27F2" w:rsidP="00160333">
    <w:pPr>
      <w:pStyle w:val="Header"/>
      <w:spacing w:line="276" w:lineRule="auto"/>
    </w:pPr>
    <w:r>
      <w:rPr>
        <w:noProof/>
        <w:lang w:eastAsia="it-IT"/>
      </w:rPr>
      <w:drawing>
        <wp:inline distT="0" distB="0" distL="0" distR="0" wp14:anchorId="72A03726" wp14:editId="3C9331C6">
          <wp:extent cx="1399489" cy="720346"/>
          <wp:effectExtent l="0" t="0" r="0" b="381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A_logo.ai"/>
                  <pic:cNvPicPr/>
                </pic:nvPicPr>
                <pic:blipFill>
                  <a:blip r:embed="rId1"/>
                  <a:stretch>
                    <a:fillRect/>
                  </a:stretch>
                </pic:blipFill>
                <pic:spPr bwMode="auto">
                  <a:xfrm>
                    <a:off x="0" y="0"/>
                    <a:ext cx="1399489" cy="720346"/>
                  </a:xfrm>
                  <a:prstGeom prst="rect">
                    <a:avLst/>
                  </a:prstGeom>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xt>
                  </a:extLst>
                </pic:spPr>
              </pic:pic>
            </a:graphicData>
          </a:graphic>
        </wp:inline>
      </w:drawing>
    </w:r>
  </w:p>
  <w:p w14:paraId="4C404D5C" w14:textId="77777777" w:rsidR="009B27F2" w:rsidRDefault="009B27F2" w:rsidP="0050257E">
    <w:pPr>
      <w:rPr>
        <w:rFonts w:ascii="Arial" w:hAnsi="Arial" w:cs="Arial"/>
        <w:color w:val="46494C"/>
        <w:sz w:val="18"/>
        <w:szCs w:val="18"/>
        <w:lang w:val="en-US"/>
      </w:rPr>
    </w:pPr>
  </w:p>
  <w:p w14:paraId="6ADB63BC" w14:textId="7D8E041A" w:rsidR="009B27F2" w:rsidRPr="00E427C6" w:rsidRDefault="009B27F2" w:rsidP="0050257E">
    <w:pPr>
      <w:rPr>
        <w:rFonts w:ascii="Arial" w:hAnsi="Arial" w:cs="Arial"/>
        <w:color w:val="46494C"/>
        <w:sz w:val="18"/>
        <w:szCs w:val="18"/>
        <w:lang w:val="en-US"/>
      </w:rPr>
    </w:pPr>
    <w:r>
      <w:rPr>
        <w:rFonts w:ascii="Arial" w:hAnsi="Arial" w:cs="Arial"/>
        <w:color w:val="46494C"/>
        <w:sz w:val="18"/>
        <w:szCs w:val="18"/>
        <w:lang w:val="en-US"/>
      </w:rPr>
      <w:t xml:space="preserve">London </w:t>
    </w:r>
  </w:p>
  <w:p w14:paraId="5E11C5BA" w14:textId="77777777" w:rsidR="009B27F2" w:rsidRDefault="009B27F2" w:rsidP="00160333">
    <w:pPr>
      <w:pStyle w:val="Header"/>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D353F"/>
    <w:multiLevelType w:val="hybridMultilevel"/>
    <w:tmpl w:val="FF04CDF2"/>
    <w:lvl w:ilvl="0" w:tplc="0809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60F23"/>
    <w:multiLevelType w:val="hybridMultilevel"/>
    <w:tmpl w:val="8F4A9B84"/>
    <w:lvl w:ilvl="0" w:tplc="B98E288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D66FFF"/>
    <w:multiLevelType w:val="hybridMultilevel"/>
    <w:tmpl w:val="D92C2F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EA2E2C"/>
    <w:multiLevelType w:val="hybridMultilevel"/>
    <w:tmpl w:val="60C26898"/>
    <w:lvl w:ilvl="0" w:tplc="E93422A6">
      <w:start w:val="1"/>
      <w:numFmt w:val="lowerLetter"/>
      <w:lvlText w:val="%1."/>
      <w:lvlJc w:val="left"/>
      <w:pPr>
        <w:ind w:left="720" w:hanging="360"/>
      </w:pPr>
      <w:rPr>
        <w:rFonts w:hint="default"/>
        <w:cap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801B88"/>
    <w:multiLevelType w:val="multilevel"/>
    <w:tmpl w:val="A98A8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4C6944"/>
    <w:multiLevelType w:val="hybridMultilevel"/>
    <w:tmpl w:val="2C10C616"/>
    <w:lvl w:ilvl="0" w:tplc="3454D4A4">
      <w:start w:val="2"/>
      <w:numFmt w:val="bullet"/>
      <w:lvlText w:val="-"/>
      <w:lvlJc w:val="left"/>
      <w:pPr>
        <w:ind w:left="720" w:hanging="360"/>
      </w:pPr>
      <w:rPr>
        <w:rFonts w:ascii="Arial" w:eastAsiaTheme="minorEastAsia"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7B26FD"/>
    <w:multiLevelType w:val="hybridMultilevel"/>
    <w:tmpl w:val="DAF43AA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E15CB6"/>
    <w:multiLevelType w:val="hybridMultilevel"/>
    <w:tmpl w:val="C4741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B308C3"/>
    <w:multiLevelType w:val="hybridMultilevel"/>
    <w:tmpl w:val="3A1212B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A445A8C"/>
    <w:multiLevelType w:val="hybridMultilevel"/>
    <w:tmpl w:val="ECB0D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A45688"/>
    <w:multiLevelType w:val="hybridMultilevel"/>
    <w:tmpl w:val="E60AA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947BDE"/>
    <w:multiLevelType w:val="hybridMultilevel"/>
    <w:tmpl w:val="DB7A659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B05EA3"/>
    <w:multiLevelType w:val="hybridMultilevel"/>
    <w:tmpl w:val="151EA7CE"/>
    <w:lvl w:ilvl="0" w:tplc="3454D4A4">
      <w:start w:val="2"/>
      <w:numFmt w:val="bullet"/>
      <w:lvlText w:val="-"/>
      <w:lvlJc w:val="left"/>
      <w:pPr>
        <w:ind w:left="720" w:hanging="360"/>
      </w:pPr>
      <w:rPr>
        <w:rFonts w:ascii="Arial" w:eastAsiaTheme="minorEastAsia"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D95B0E"/>
    <w:multiLevelType w:val="hybridMultilevel"/>
    <w:tmpl w:val="4C083688"/>
    <w:lvl w:ilvl="0" w:tplc="55C0240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A865B76"/>
    <w:multiLevelType w:val="hybridMultilevel"/>
    <w:tmpl w:val="ED185DB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D3A7E7E"/>
    <w:multiLevelType w:val="hybridMultilevel"/>
    <w:tmpl w:val="22301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E182C3F"/>
    <w:multiLevelType w:val="hybridMultilevel"/>
    <w:tmpl w:val="E550C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8"/>
  </w:num>
  <w:num w:numId="4">
    <w:abstractNumId w:val="7"/>
  </w:num>
  <w:num w:numId="5">
    <w:abstractNumId w:val="4"/>
  </w:num>
  <w:num w:numId="6">
    <w:abstractNumId w:val="14"/>
  </w:num>
  <w:num w:numId="7">
    <w:abstractNumId w:val="9"/>
  </w:num>
  <w:num w:numId="8">
    <w:abstractNumId w:val="1"/>
  </w:num>
  <w:num w:numId="9">
    <w:abstractNumId w:val="6"/>
  </w:num>
  <w:num w:numId="10">
    <w:abstractNumId w:val="12"/>
  </w:num>
  <w:num w:numId="11">
    <w:abstractNumId w:val="11"/>
  </w:num>
  <w:num w:numId="12">
    <w:abstractNumId w:val="2"/>
  </w:num>
  <w:num w:numId="13">
    <w:abstractNumId w:val="5"/>
  </w:num>
  <w:num w:numId="14">
    <w:abstractNumId w:val="0"/>
  </w:num>
  <w:num w:numId="15">
    <w:abstractNumId w:val="3"/>
  </w:num>
  <w:num w:numId="16">
    <w:abstractNumId w:val="13"/>
  </w:num>
  <w:num w:numId="17">
    <w:abstractNumId w:val="1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211"/>
    <w:rsid w:val="00006B9B"/>
    <w:rsid w:val="000078AA"/>
    <w:rsid w:val="000304E6"/>
    <w:rsid w:val="00086F7C"/>
    <w:rsid w:val="00094FBF"/>
    <w:rsid w:val="000A2989"/>
    <w:rsid w:val="000D172B"/>
    <w:rsid w:val="000E04D5"/>
    <w:rsid w:val="000E31DD"/>
    <w:rsid w:val="000F6FF1"/>
    <w:rsid w:val="00107B94"/>
    <w:rsid w:val="00121122"/>
    <w:rsid w:val="00122B38"/>
    <w:rsid w:val="001316A2"/>
    <w:rsid w:val="00160333"/>
    <w:rsid w:val="0018306B"/>
    <w:rsid w:val="001A5183"/>
    <w:rsid w:val="001B04A5"/>
    <w:rsid w:val="001B1E6A"/>
    <w:rsid w:val="001B5BB8"/>
    <w:rsid w:val="001C7B02"/>
    <w:rsid w:val="001D2CF5"/>
    <w:rsid w:val="001F47DE"/>
    <w:rsid w:val="002333D8"/>
    <w:rsid w:val="00237E53"/>
    <w:rsid w:val="00254934"/>
    <w:rsid w:val="00260BE3"/>
    <w:rsid w:val="00265965"/>
    <w:rsid w:val="00280A4C"/>
    <w:rsid w:val="00283918"/>
    <w:rsid w:val="002A0CA5"/>
    <w:rsid w:val="002B06A0"/>
    <w:rsid w:val="002B7123"/>
    <w:rsid w:val="002C33F8"/>
    <w:rsid w:val="002C6A4F"/>
    <w:rsid w:val="002C72AE"/>
    <w:rsid w:val="002E55B5"/>
    <w:rsid w:val="00311AF9"/>
    <w:rsid w:val="00321E02"/>
    <w:rsid w:val="00324540"/>
    <w:rsid w:val="00335263"/>
    <w:rsid w:val="00335AC6"/>
    <w:rsid w:val="003666F2"/>
    <w:rsid w:val="00385107"/>
    <w:rsid w:val="00386F59"/>
    <w:rsid w:val="003A479E"/>
    <w:rsid w:val="003B2379"/>
    <w:rsid w:val="003B2747"/>
    <w:rsid w:val="003B3840"/>
    <w:rsid w:val="003B48F2"/>
    <w:rsid w:val="003B6B2E"/>
    <w:rsid w:val="003B7211"/>
    <w:rsid w:val="003B7FCF"/>
    <w:rsid w:val="003C24DA"/>
    <w:rsid w:val="003D1600"/>
    <w:rsid w:val="004063C3"/>
    <w:rsid w:val="00432ABB"/>
    <w:rsid w:val="00452681"/>
    <w:rsid w:val="00473196"/>
    <w:rsid w:val="00483497"/>
    <w:rsid w:val="004912B6"/>
    <w:rsid w:val="0049335A"/>
    <w:rsid w:val="00493AA7"/>
    <w:rsid w:val="00497EF1"/>
    <w:rsid w:val="004C7AA9"/>
    <w:rsid w:val="004F788D"/>
    <w:rsid w:val="0050257E"/>
    <w:rsid w:val="00536544"/>
    <w:rsid w:val="00541175"/>
    <w:rsid w:val="00581B17"/>
    <w:rsid w:val="00591522"/>
    <w:rsid w:val="005A46EC"/>
    <w:rsid w:val="005B0292"/>
    <w:rsid w:val="005B5944"/>
    <w:rsid w:val="005D2C08"/>
    <w:rsid w:val="005F290C"/>
    <w:rsid w:val="005F77C0"/>
    <w:rsid w:val="00607FB8"/>
    <w:rsid w:val="00630C27"/>
    <w:rsid w:val="00657BE4"/>
    <w:rsid w:val="006868BD"/>
    <w:rsid w:val="006900D9"/>
    <w:rsid w:val="006A1F9B"/>
    <w:rsid w:val="006B3AB3"/>
    <w:rsid w:val="006B3E11"/>
    <w:rsid w:val="006D7B95"/>
    <w:rsid w:val="00714DD1"/>
    <w:rsid w:val="00722740"/>
    <w:rsid w:val="00723A5B"/>
    <w:rsid w:val="00787DE9"/>
    <w:rsid w:val="007B7F8D"/>
    <w:rsid w:val="007C3891"/>
    <w:rsid w:val="007C3C2E"/>
    <w:rsid w:val="007C4864"/>
    <w:rsid w:val="007C4E0F"/>
    <w:rsid w:val="007C5843"/>
    <w:rsid w:val="007D2F5A"/>
    <w:rsid w:val="007D4C6C"/>
    <w:rsid w:val="007E676B"/>
    <w:rsid w:val="00801ED5"/>
    <w:rsid w:val="0080499A"/>
    <w:rsid w:val="0081443A"/>
    <w:rsid w:val="00832A76"/>
    <w:rsid w:val="00854249"/>
    <w:rsid w:val="008630B5"/>
    <w:rsid w:val="008845B1"/>
    <w:rsid w:val="00885636"/>
    <w:rsid w:val="00887325"/>
    <w:rsid w:val="008A7BC3"/>
    <w:rsid w:val="008B182A"/>
    <w:rsid w:val="008C1F1C"/>
    <w:rsid w:val="00900175"/>
    <w:rsid w:val="00901BFD"/>
    <w:rsid w:val="00903D8D"/>
    <w:rsid w:val="0090650B"/>
    <w:rsid w:val="00914EA5"/>
    <w:rsid w:val="00917046"/>
    <w:rsid w:val="0092126D"/>
    <w:rsid w:val="0095313A"/>
    <w:rsid w:val="009802D8"/>
    <w:rsid w:val="009829B5"/>
    <w:rsid w:val="009A0908"/>
    <w:rsid w:val="009B27F2"/>
    <w:rsid w:val="009D4558"/>
    <w:rsid w:val="00A02F18"/>
    <w:rsid w:val="00A2342F"/>
    <w:rsid w:val="00A26E65"/>
    <w:rsid w:val="00A43F9C"/>
    <w:rsid w:val="00A501D0"/>
    <w:rsid w:val="00A648B1"/>
    <w:rsid w:val="00A66186"/>
    <w:rsid w:val="00A66E93"/>
    <w:rsid w:val="00A97743"/>
    <w:rsid w:val="00AA5167"/>
    <w:rsid w:val="00AA59B4"/>
    <w:rsid w:val="00AD6544"/>
    <w:rsid w:val="00B01D2B"/>
    <w:rsid w:val="00B203FE"/>
    <w:rsid w:val="00B56D56"/>
    <w:rsid w:val="00B647A9"/>
    <w:rsid w:val="00B85371"/>
    <w:rsid w:val="00BC575B"/>
    <w:rsid w:val="00BF3520"/>
    <w:rsid w:val="00BF45A0"/>
    <w:rsid w:val="00C4486D"/>
    <w:rsid w:val="00C64190"/>
    <w:rsid w:val="00C6461C"/>
    <w:rsid w:val="00C91C37"/>
    <w:rsid w:val="00C94F76"/>
    <w:rsid w:val="00CA5F9E"/>
    <w:rsid w:val="00CB409F"/>
    <w:rsid w:val="00CD41D5"/>
    <w:rsid w:val="00CD672B"/>
    <w:rsid w:val="00CE4FD9"/>
    <w:rsid w:val="00CF3B4B"/>
    <w:rsid w:val="00CF701D"/>
    <w:rsid w:val="00D0188F"/>
    <w:rsid w:val="00D264B9"/>
    <w:rsid w:val="00D469D9"/>
    <w:rsid w:val="00D5023E"/>
    <w:rsid w:val="00D74079"/>
    <w:rsid w:val="00D740DE"/>
    <w:rsid w:val="00D83C75"/>
    <w:rsid w:val="00D901B2"/>
    <w:rsid w:val="00D91D59"/>
    <w:rsid w:val="00D96551"/>
    <w:rsid w:val="00DE3652"/>
    <w:rsid w:val="00DE5A02"/>
    <w:rsid w:val="00E328F2"/>
    <w:rsid w:val="00E427C6"/>
    <w:rsid w:val="00E5437E"/>
    <w:rsid w:val="00E76AF3"/>
    <w:rsid w:val="00E80C13"/>
    <w:rsid w:val="00EE3910"/>
    <w:rsid w:val="00EE5676"/>
    <w:rsid w:val="00EE6EF3"/>
    <w:rsid w:val="00EF1EBB"/>
    <w:rsid w:val="00F54B12"/>
    <w:rsid w:val="00F92A22"/>
    <w:rsid w:val="00FA75EF"/>
    <w:rsid w:val="00FB04E4"/>
    <w:rsid w:val="00FD747F"/>
    <w:rsid w:val="00FE6064"/>
    <w:rsid w:val="00FF089E"/>
    <w:rsid w:val="00FF62C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BA1D2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721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7211"/>
    <w:rPr>
      <w:rFonts w:ascii="Lucida Grande" w:hAnsi="Lucida Grande" w:cs="Lucida Grande"/>
      <w:sz w:val="18"/>
      <w:szCs w:val="18"/>
    </w:rPr>
  </w:style>
  <w:style w:type="paragraph" w:styleId="Header">
    <w:name w:val="header"/>
    <w:basedOn w:val="Normal"/>
    <w:link w:val="HeaderChar"/>
    <w:uiPriority w:val="99"/>
    <w:unhideWhenUsed/>
    <w:rsid w:val="003B7211"/>
    <w:pPr>
      <w:tabs>
        <w:tab w:val="center" w:pos="4153"/>
        <w:tab w:val="right" w:pos="8306"/>
      </w:tabs>
    </w:pPr>
  </w:style>
  <w:style w:type="character" w:customStyle="1" w:styleId="HeaderChar">
    <w:name w:val="Header Char"/>
    <w:basedOn w:val="DefaultParagraphFont"/>
    <w:link w:val="Header"/>
    <w:uiPriority w:val="99"/>
    <w:rsid w:val="003B7211"/>
  </w:style>
  <w:style w:type="paragraph" w:styleId="Footer">
    <w:name w:val="footer"/>
    <w:basedOn w:val="Normal"/>
    <w:link w:val="FooterChar"/>
    <w:uiPriority w:val="99"/>
    <w:unhideWhenUsed/>
    <w:rsid w:val="003B7211"/>
    <w:pPr>
      <w:tabs>
        <w:tab w:val="center" w:pos="4153"/>
        <w:tab w:val="right" w:pos="8306"/>
      </w:tabs>
    </w:pPr>
  </w:style>
  <w:style w:type="character" w:customStyle="1" w:styleId="FooterChar">
    <w:name w:val="Footer Char"/>
    <w:basedOn w:val="DefaultParagraphFont"/>
    <w:link w:val="Footer"/>
    <w:uiPriority w:val="99"/>
    <w:rsid w:val="003B7211"/>
  </w:style>
  <w:style w:type="character" w:styleId="Hyperlink">
    <w:name w:val="Hyperlink"/>
    <w:basedOn w:val="DefaultParagraphFont"/>
    <w:uiPriority w:val="99"/>
    <w:unhideWhenUsed/>
    <w:rsid w:val="00D901B2"/>
    <w:rPr>
      <w:color w:val="0000FF" w:themeColor="hyperlink"/>
      <w:u w:val="single"/>
    </w:rPr>
  </w:style>
  <w:style w:type="character" w:styleId="FollowedHyperlink">
    <w:name w:val="FollowedHyperlink"/>
    <w:basedOn w:val="DefaultParagraphFont"/>
    <w:uiPriority w:val="99"/>
    <w:semiHidden/>
    <w:unhideWhenUsed/>
    <w:rsid w:val="007C4864"/>
    <w:rPr>
      <w:color w:val="800080" w:themeColor="followedHyperlink"/>
      <w:u w:val="single"/>
    </w:rPr>
  </w:style>
  <w:style w:type="character" w:customStyle="1" w:styleId="gmaildefault">
    <w:name w:val="gmail_default"/>
    <w:basedOn w:val="DefaultParagraphFont"/>
    <w:rsid w:val="00E427C6"/>
  </w:style>
  <w:style w:type="paragraph" w:styleId="ListParagraph">
    <w:name w:val="List Paragraph"/>
    <w:basedOn w:val="Normal"/>
    <w:uiPriority w:val="34"/>
    <w:qFormat/>
    <w:rsid w:val="0050257E"/>
    <w:pPr>
      <w:spacing w:after="160" w:line="256" w:lineRule="auto"/>
      <w:ind w:left="720"/>
      <w:contextualSpacing/>
    </w:pPr>
    <w:rPr>
      <w:rFonts w:ascii="Calibri" w:eastAsia="Calibri" w:hAnsi="Calibri" w:cs="Times New Roman"/>
      <w:sz w:val="22"/>
      <w:szCs w:val="22"/>
      <w:lang w:val="en-GB"/>
    </w:rPr>
  </w:style>
  <w:style w:type="character" w:styleId="Strong">
    <w:name w:val="Strong"/>
    <w:basedOn w:val="DefaultParagraphFont"/>
    <w:uiPriority w:val="22"/>
    <w:qFormat/>
    <w:rsid w:val="00D264B9"/>
    <w:rPr>
      <w:b/>
      <w:bCs/>
    </w:rPr>
  </w:style>
  <w:style w:type="character" w:styleId="Emphasis">
    <w:name w:val="Emphasis"/>
    <w:basedOn w:val="DefaultParagraphFont"/>
    <w:uiPriority w:val="20"/>
    <w:qFormat/>
    <w:rsid w:val="00D264B9"/>
    <w:rPr>
      <w:i/>
      <w:iCs/>
    </w:rPr>
  </w:style>
  <w:style w:type="paragraph" w:styleId="NormalWeb">
    <w:name w:val="Normal (Web)"/>
    <w:basedOn w:val="Normal"/>
    <w:uiPriority w:val="99"/>
    <w:semiHidden/>
    <w:unhideWhenUsed/>
    <w:rsid w:val="006A1F9B"/>
    <w:pPr>
      <w:spacing w:before="100" w:beforeAutospacing="1" w:after="100" w:afterAutospacing="1"/>
    </w:pPr>
    <w:rPr>
      <w:rFonts w:ascii="Times New Roman" w:eastAsia="Times New Roman" w:hAnsi="Times New Roman" w:cs="Times New Roman"/>
      <w:lang w:val="en-GB" w:eastAsia="en-GB"/>
    </w:rPr>
  </w:style>
  <w:style w:type="paragraph" w:styleId="FootnoteText">
    <w:name w:val="footnote text"/>
    <w:basedOn w:val="Normal"/>
    <w:link w:val="FootnoteTextChar"/>
    <w:uiPriority w:val="99"/>
    <w:semiHidden/>
    <w:unhideWhenUsed/>
    <w:rsid w:val="00335AC6"/>
    <w:rPr>
      <w:sz w:val="20"/>
      <w:szCs w:val="20"/>
    </w:rPr>
  </w:style>
  <w:style w:type="character" w:customStyle="1" w:styleId="FootnoteTextChar">
    <w:name w:val="Footnote Text Char"/>
    <w:basedOn w:val="DefaultParagraphFont"/>
    <w:link w:val="FootnoteText"/>
    <w:uiPriority w:val="99"/>
    <w:semiHidden/>
    <w:rsid w:val="00335AC6"/>
    <w:rPr>
      <w:sz w:val="20"/>
      <w:szCs w:val="20"/>
    </w:rPr>
  </w:style>
  <w:style w:type="character" w:styleId="FootnoteReference">
    <w:name w:val="footnote reference"/>
    <w:basedOn w:val="DefaultParagraphFont"/>
    <w:uiPriority w:val="99"/>
    <w:semiHidden/>
    <w:unhideWhenUsed/>
    <w:rsid w:val="00335AC6"/>
    <w:rPr>
      <w:vertAlign w:val="superscript"/>
    </w:rPr>
  </w:style>
  <w:style w:type="paragraph" w:styleId="HTMLPreformatted">
    <w:name w:val="HTML Preformatted"/>
    <w:basedOn w:val="Normal"/>
    <w:link w:val="HTMLPreformattedChar"/>
    <w:uiPriority w:val="99"/>
    <w:unhideWhenUsed/>
    <w:rsid w:val="007C4E0F"/>
    <w:rPr>
      <w:rFonts w:ascii="Consolas" w:hAnsi="Consolas"/>
      <w:sz w:val="20"/>
      <w:szCs w:val="20"/>
    </w:rPr>
  </w:style>
  <w:style w:type="character" w:customStyle="1" w:styleId="HTMLPreformattedChar">
    <w:name w:val="HTML Preformatted Char"/>
    <w:basedOn w:val="DefaultParagraphFont"/>
    <w:link w:val="HTMLPreformatted"/>
    <w:uiPriority w:val="99"/>
    <w:rsid w:val="007C4E0F"/>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55473">
      <w:bodyDiv w:val="1"/>
      <w:marLeft w:val="0"/>
      <w:marRight w:val="0"/>
      <w:marTop w:val="0"/>
      <w:marBottom w:val="0"/>
      <w:divBdr>
        <w:top w:val="none" w:sz="0" w:space="0" w:color="auto"/>
        <w:left w:val="none" w:sz="0" w:space="0" w:color="auto"/>
        <w:bottom w:val="none" w:sz="0" w:space="0" w:color="auto"/>
        <w:right w:val="none" w:sz="0" w:space="0" w:color="auto"/>
      </w:divBdr>
    </w:div>
    <w:div w:id="144322483">
      <w:bodyDiv w:val="1"/>
      <w:marLeft w:val="0"/>
      <w:marRight w:val="0"/>
      <w:marTop w:val="0"/>
      <w:marBottom w:val="0"/>
      <w:divBdr>
        <w:top w:val="none" w:sz="0" w:space="0" w:color="auto"/>
        <w:left w:val="none" w:sz="0" w:space="0" w:color="auto"/>
        <w:bottom w:val="none" w:sz="0" w:space="0" w:color="auto"/>
        <w:right w:val="none" w:sz="0" w:space="0" w:color="auto"/>
      </w:divBdr>
    </w:div>
    <w:div w:id="478887722">
      <w:bodyDiv w:val="1"/>
      <w:marLeft w:val="0"/>
      <w:marRight w:val="0"/>
      <w:marTop w:val="0"/>
      <w:marBottom w:val="0"/>
      <w:divBdr>
        <w:top w:val="none" w:sz="0" w:space="0" w:color="auto"/>
        <w:left w:val="none" w:sz="0" w:space="0" w:color="auto"/>
        <w:bottom w:val="none" w:sz="0" w:space="0" w:color="auto"/>
        <w:right w:val="none" w:sz="0" w:space="0" w:color="auto"/>
      </w:divBdr>
    </w:div>
    <w:div w:id="676617313">
      <w:bodyDiv w:val="1"/>
      <w:marLeft w:val="0"/>
      <w:marRight w:val="0"/>
      <w:marTop w:val="0"/>
      <w:marBottom w:val="0"/>
      <w:divBdr>
        <w:top w:val="none" w:sz="0" w:space="0" w:color="auto"/>
        <w:left w:val="none" w:sz="0" w:space="0" w:color="auto"/>
        <w:bottom w:val="none" w:sz="0" w:space="0" w:color="auto"/>
        <w:right w:val="none" w:sz="0" w:space="0" w:color="auto"/>
      </w:divBdr>
    </w:div>
    <w:div w:id="750391258">
      <w:bodyDiv w:val="1"/>
      <w:marLeft w:val="0"/>
      <w:marRight w:val="0"/>
      <w:marTop w:val="0"/>
      <w:marBottom w:val="0"/>
      <w:divBdr>
        <w:top w:val="none" w:sz="0" w:space="0" w:color="auto"/>
        <w:left w:val="none" w:sz="0" w:space="0" w:color="auto"/>
        <w:bottom w:val="none" w:sz="0" w:space="0" w:color="auto"/>
        <w:right w:val="none" w:sz="0" w:space="0" w:color="auto"/>
      </w:divBdr>
    </w:div>
    <w:div w:id="805469803">
      <w:bodyDiv w:val="1"/>
      <w:marLeft w:val="0"/>
      <w:marRight w:val="0"/>
      <w:marTop w:val="0"/>
      <w:marBottom w:val="0"/>
      <w:divBdr>
        <w:top w:val="none" w:sz="0" w:space="0" w:color="auto"/>
        <w:left w:val="none" w:sz="0" w:space="0" w:color="auto"/>
        <w:bottom w:val="none" w:sz="0" w:space="0" w:color="auto"/>
        <w:right w:val="none" w:sz="0" w:space="0" w:color="auto"/>
      </w:divBdr>
      <w:divsChild>
        <w:div w:id="1207987956">
          <w:marLeft w:val="180"/>
          <w:marRight w:val="0"/>
          <w:marTop w:val="0"/>
          <w:marBottom w:val="195"/>
          <w:divBdr>
            <w:top w:val="none" w:sz="0" w:space="0" w:color="auto"/>
            <w:left w:val="none" w:sz="0" w:space="0" w:color="auto"/>
            <w:bottom w:val="none" w:sz="0" w:space="0" w:color="auto"/>
            <w:right w:val="none" w:sz="0" w:space="0" w:color="auto"/>
          </w:divBdr>
        </w:div>
      </w:divsChild>
    </w:div>
    <w:div w:id="813447549">
      <w:bodyDiv w:val="1"/>
      <w:marLeft w:val="0"/>
      <w:marRight w:val="0"/>
      <w:marTop w:val="0"/>
      <w:marBottom w:val="0"/>
      <w:divBdr>
        <w:top w:val="none" w:sz="0" w:space="0" w:color="auto"/>
        <w:left w:val="none" w:sz="0" w:space="0" w:color="auto"/>
        <w:bottom w:val="none" w:sz="0" w:space="0" w:color="auto"/>
        <w:right w:val="none" w:sz="0" w:space="0" w:color="auto"/>
      </w:divBdr>
    </w:div>
    <w:div w:id="1045104395">
      <w:bodyDiv w:val="1"/>
      <w:marLeft w:val="0"/>
      <w:marRight w:val="0"/>
      <w:marTop w:val="0"/>
      <w:marBottom w:val="0"/>
      <w:divBdr>
        <w:top w:val="none" w:sz="0" w:space="0" w:color="auto"/>
        <w:left w:val="none" w:sz="0" w:space="0" w:color="auto"/>
        <w:bottom w:val="none" w:sz="0" w:space="0" w:color="auto"/>
        <w:right w:val="none" w:sz="0" w:space="0" w:color="auto"/>
      </w:divBdr>
    </w:div>
    <w:div w:id="1244411756">
      <w:bodyDiv w:val="1"/>
      <w:marLeft w:val="0"/>
      <w:marRight w:val="0"/>
      <w:marTop w:val="0"/>
      <w:marBottom w:val="0"/>
      <w:divBdr>
        <w:top w:val="none" w:sz="0" w:space="0" w:color="auto"/>
        <w:left w:val="none" w:sz="0" w:space="0" w:color="auto"/>
        <w:bottom w:val="none" w:sz="0" w:space="0" w:color="auto"/>
        <w:right w:val="none" w:sz="0" w:space="0" w:color="auto"/>
      </w:divBdr>
    </w:div>
    <w:div w:id="1364669992">
      <w:bodyDiv w:val="1"/>
      <w:marLeft w:val="0"/>
      <w:marRight w:val="0"/>
      <w:marTop w:val="0"/>
      <w:marBottom w:val="0"/>
      <w:divBdr>
        <w:top w:val="none" w:sz="0" w:space="0" w:color="auto"/>
        <w:left w:val="none" w:sz="0" w:space="0" w:color="auto"/>
        <w:bottom w:val="none" w:sz="0" w:space="0" w:color="auto"/>
        <w:right w:val="none" w:sz="0" w:space="0" w:color="auto"/>
      </w:divBdr>
    </w:div>
    <w:div w:id="1476067940">
      <w:bodyDiv w:val="1"/>
      <w:marLeft w:val="0"/>
      <w:marRight w:val="0"/>
      <w:marTop w:val="0"/>
      <w:marBottom w:val="0"/>
      <w:divBdr>
        <w:top w:val="none" w:sz="0" w:space="0" w:color="auto"/>
        <w:left w:val="none" w:sz="0" w:space="0" w:color="auto"/>
        <w:bottom w:val="none" w:sz="0" w:space="0" w:color="auto"/>
        <w:right w:val="none" w:sz="0" w:space="0" w:color="auto"/>
      </w:divBdr>
    </w:div>
    <w:div w:id="1502504493">
      <w:bodyDiv w:val="1"/>
      <w:marLeft w:val="0"/>
      <w:marRight w:val="0"/>
      <w:marTop w:val="0"/>
      <w:marBottom w:val="0"/>
      <w:divBdr>
        <w:top w:val="none" w:sz="0" w:space="0" w:color="auto"/>
        <w:left w:val="none" w:sz="0" w:space="0" w:color="auto"/>
        <w:bottom w:val="none" w:sz="0" w:space="0" w:color="auto"/>
        <w:right w:val="none" w:sz="0" w:space="0" w:color="auto"/>
      </w:divBdr>
    </w:div>
    <w:div w:id="1510176238">
      <w:bodyDiv w:val="1"/>
      <w:marLeft w:val="0"/>
      <w:marRight w:val="0"/>
      <w:marTop w:val="0"/>
      <w:marBottom w:val="0"/>
      <w:divBdr>
        <w:top w:val="none" w:sz="0" w:space="0" w:color="auto"/>
        <w:left w:val="none" w:sz="0" w:space="0" w:color="auto"/>
        <w:bottom w:val="none" w:sz="0" w:space="0" w:color="auto"/>
        <w:right w:val="none" w:sz="0" w:space="0" w:color="auto"/>
      </w:divBdr>
    </w:div>
    <w:div w:id="1638871932">
      <w:bodyDiv w:val="1"/>
      <w:marLeft w:val="0"/>
      <w:marRight w:val="0"/>
      <w:marTop w:val="0"/>
      <w:marBottom w:val="0"/>
      <w:divBdr>
        <w:top w:val="none" w:sz="0" w:space="0" w:color="auto"/>
        <w:left w:val="none" w:sz="0" w:space="0" w:color="auto"/>
        <w:bottom w:val="none" w:sz="0" w:space="0" w:color="auto"/>
        <w:right w:val="none" w:sz="0" w:space="0" w:color="auto"/>
      </w:divBdr>
    </w:div>
    <w:div w:id="1807770398">
      <w:bodyDiv w:val="1"/>
      <w:marLeft w:val="0"/>
      <w:marRight w:val="0"/>
      <w:marTop w:val="0"/>
      <w:marBottom w:val="0"/>
      <w:divBdr>
        <w:top w:val="none" w:sz="0" w:space="0" w:color="auto"/>
        <w:left w:val="none" w:sz="0" w:space="0" w:color="auto"/>
        <w:bottom w:val="none" w:sz="0" w:space="0" w:color="auto"/>
        <w:right w:val="none" w:sz="0" w:space="0" w:color="auto"/>
      </w:divBdr>
    </w:div>
    <w:div w:id="1911621166">
      <w:bodyDiv w:val="1"/>
      <w:marLeft w:val="0"/>
      <w:marRight w:val="0"/>
      <w:marTop w:val="0"/>
      <w:marBottom w:val="0"/>
      <w:divBdr>
        <w:top w:val="none" w:sz="0" w:space="0" w:color="auto"/>
        <w:left w:val="none" w:sz="0" w:space="0" w:color="auto"/>
        <w:bottom w:val="none" w:sz="0" w:space="0" w:color="auto"/>
        <w:right w:val="none" w:sz="0" w:space="0" w:color="auto"/>
      </w:divBdr>
    </w:div>
    <w:div w:id="19858178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it.wikipedia.org/w/index.php?title=Quota_di_importazione&amp;action=edit&amp;redlink=1" TargetMode="External"/><Relationship Id="rId7" Type="http://schemas.openxmlformats.org/officeDocument/2006/relationships/hyperlink" Target="https://it.wikipedia.org/w/index.php?title=Quota_di_importazione&amp;action=edit&amp;redlink=1" TargetMode="External"/><Relationship Id="rId2" Type="http://schemas.openxmlformats.org/officeDocument/2006/relationships/hyperlink" Target="https://it.wikipedia.org/wiki/Dazio_(economia)" TargetMode="External"/><Relationship Id="rId1" Type="http://schemas.openxmlformats.org/officeDocument/2006/relationships/hyperlink" Target="https://it.wikipedia.org/wiki/Stato" TargetMode="External"/><Relationship Id="rId6" Type="http://schemas.openxmlformats.org/officeDocument/2006/relationships/hyperlink" Target="https://it.wikipedia.org/wiki/Dazio_(economia)" TargetMode="External"/><Relationship Id="rId5" Type="http://schemas.openxmlformats.org/officeDocument/2006/relationships/hyperlink" Target="https://it.wikipedia.org/w/index.php?title=Tariffa_esterna_comune&amp;action=edit&amp;redlink=1" TargetMode="External"/><Relationship Id="rId4" Type="http://schemas.openxmlformats.org/officeDocument/2006/relationships/hyperlink" Target="https://it.wikipedia.org/wiki/Bene_(economi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DB9EDB9BB81A0429BBB3A067F1D137B"/>
        <w:category>
          <w:name w:val="General"/>
          <w:gallery w:val="placeholder"/>
        </w:category>
        <w:types>
          <w:type w:val="bbPlcHdr"/>
        </w:types>
        <w:behaviors>
          <w:behavior w:val="content"/>
        </w:behaviors>
        <w:guid w:val="{5F54BF68-6164-E448-8570-F88FFC0DC975}"/>
      </w:docPartPr>
      <w:docPartBody>
        <w:p w:rsidR="00AA0A81" w:rsidRDefault="00AA0A81" w:rsidP="00AA0A81">
          <w:pPr>
            <w:pStyle w:val="2DB9EDB9BB81A0429BBB3A067F1D137B"/>
          </w:pPr>
          <w:r>
            <w:t>[Type text]</w:t>
          </w:r>
        </w:p>
      </w:docPartBody>
    </w:docPart>
    <w:docPart>
      <w:docPartPr>
        <w:name w:val="2BE833B58A055549B133E1A3EBAC687B"/>
        <w:category>
          <w:name w:val="General"/>
          <w:gallery w:val="placeholder"/>
        </w:category>
        <w:types>
          <w:type w:val="bbPlcHdr"/>
        </w:types>
        <w:behaviors>
          <w:behavior w:val="content"/>
        </w:behaviors>
        <w:guid w:val="{2D7EE08D-CDA9-9845-BCB1-FF5E9C182A31}"/>
      </w:docPartPr>
      <w:docPartBody>
        <w:p w:rsidR="00AA0A81" w:rsidRDefault="00AA0A81" w:rsidP="00AA0A81">
          <w:pPr>
            <w:pStyle w:val="2BE833B58A055549B133E1A3EBAC687B"/>
          </w:pPr>
          <w:r>
            <w:t>[Type text]</w:t>
          </w:r>
        </w:p>
      </w:docPartBody>
    </w:docPart>
    <w:docPart>
      <w:docPartPr>
        <w:name w:val="C439EA62233C9D478EBD3B18DC0F1CFE"/>
        <w:category>
          <w:name w:val="General"/>
          <w:gallery w:val="placeholder"/>
        </w:category>
        <w:types>
          <w:type w:val="bbPlcHdr"/>
        </w:types>
        <w:behaviors>
          <w:behavior w:val="content"/>
        </w:behaviors>
        <w:guid w:val="{1266FEA3-E48A-C64B-97CE-9BE21A34FC97}"/>
      </w:docPartPr>
      <w:docPartBody>
        <w:p w:rsidR="00AA0A81" w:rsidRDefault="00AA0A81" w:rsidP="00AA0A81">
          <w:pPr>
            <w:pStyle w:val="C439EA62233C9D478EBD3B18DC0F1CF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altName w:val="Times New Roman"/>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A81"/>
    <w:rsid w:val="00110B24"/>
    <w:rsid w:val="001F3564"/>
    <w:rsid w:val="002512AF"/>
    <w:rsid w:val="002864A3"/>
    <w:rsid w:val="00306835"/>
    <w:rsid w:val="0037405A"/>
    <w:rsid w:val="0040739F"/>
    <w:rsid w:val="0045251D"/>
    <w:rsid w:val="004937A7"/>
    <w:rsid w:val="00537625"/>
    <w:rsid w:val="00563F8E"/>
    <w:rsid w:val="00650C6E"/>
    <w:rsid w:val="008C7573"/>
    <w:rsid w:val="008C75E7"/>
    <w:rsid w:val="008E5361"/>
    <w:rsid w:val="00926BB3"/>
    <w:rsid w:val="009D2703"/>
    <w:rsid w:val="00AA0A81"/>
    <w:rsid w:val="00B92C79"/>
    <w:rsid w:val="00CB209E"/>
    <w:rsid w:val="00CC7257"/>
    <w:rsid w:val="00D73016"/>
    <w:rsid w:val="00E35AAC"/>
    <w:rsid w:val="00EB2546"/>
    <w:rsid w:val="00F17F43"/>
    <w:rsid w:val="00F50F6A"/>
    <w:rsid w:val="00FB450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B9EDB9BB81A0429BBB3A067F1D137B">
    <w:name w:val="2DB9EDB9BB81A0429BBB3A067F1D137B"/>
    <w:rsid w:val="00AA0A81"/>
  </w:style>
  <w:style w:type="paragraph" w:customStyle="1" w:styleId="2BE833B58A055549B133E1A3EBAC687B">
    <w:name w:val="2BE833B58A055549B133E1A3EBAC687B"/>
    <w:rsid w:val="00AA0A81"/>
  </w:style>
  <w:style w:type="paragraph" w:customStyle="1" w:styleId="C439EA62233C9D478EBD3B18DC0F1CFE">
    <w:name w:val="C439EA62233C9D478EBD3B18DC0F1CFE"/>
    <w:rsid w:val="00AA0A81"/>
  </w:style>
  <w:style w:type="paragraph" w:customStyle="1" w:styleId="B628CE79E66C4940934F3635902589B1">
    <w:name w:val="B628CE79E66C4940934F3635902589B1"/>
    <w:rsid w:val="00AA0A81"/>
  </w:style>
  <w:style w:type="paragraph" w:customStyle="1" w:styleId="15E998027818E3479519A4A962389432">
    <w:name w:val="15E998027818E3479519A4A962389432"/>
    <w:rsid w:val="00AA0A81"/>
  </w:style>
  <w:style w:type="paragraph" w:customStyle="1" w:styleId="9171E3F33AECAC408FC360016629BB26">
    <w:name w:val="9171E3F33AECAC408FC360016629BB26"/>
    <w:rsid w:val="00AA0A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C0DDA-C336-4FD1-BC21-A9D5731C0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2512</Words>
  <Characters>14321</Characters>
  <Application>Microsoft Office Word</Application>
  <DocSecurity>0</DocSecurity>
  <Lines>119</Lines>
  <Paragraphs>33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dc:creator>
  <cp:keywords/>
  <dc:description/>
  <cp:lastModifiedBy>General</cp:lastModifiedBy>
  <cp:revision>2</cp:revision>
  <cp:lastPrinted>2019-05-09T11:07:00Z</cp:lastPrinted>
  <dcterms:created xsi:type="dcterms:W3CDTF">2019-05-31T15:18:00Z</dcterms:created>
  <dcterms:modified xsi:type="dcterms:W3CDTF">2019-05-31T15:18:00Z</dcterms:modified>
</cp:coreProperties>
</file>